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shd w:val="clear" w:color="auto" w:fill="auto"/>
        </w:rPr>
      </w:pPr>
      <w:r>
        <w:rPr>
          <w:rFonts w:hint="eastAsia"/>
          <w:sz w:val="52"/>
          <w:szCs w:val="52"/>
          <w:shd w:val="clear" w:color="auto" w:fill="auto"/>
        </w:rPr>
        <w:t>2020年度</w:t>
      </w:r>
    </w:p>
    <w:p>
      <w:pPr>
        <w:jc w:val="center"/>
        <w:rPr>
          <w:rFonts w:hint="eastAsia"/>
          <w:sz w:val="52"/>
          <w:szCs w:val="52"/>
          <w:shd w:val="clear" w:color="auto" w:fill="auto"/>
        </w:rPr>
      </w:pPr>
      <w:r>
        <w:rPr>
          <w:rFonts w:hint="eastAsia"/>
          <w:sz w:val="52"/>
          <w:szCs w:val="52"/>
          <w:shd w:val="clear" w:color="auto" w:fill="auto"/>
        </w:rPr>
        <w:t>湖南省林木种子储备调剂中心</w:t>
      </w:r>
    </w:p>
    <w:p>
      <w:pPr>
        <w:jc w:val="center"/>
        <w:rPr>
          <w:rFonts w:hint="eastAsia"/>
          <w:sz w:val="52"/>
          <w:szCs w:val="52"/>
          <w:shd w:val="clear" w:color="auto" w:fill="auto"/>
        </w:rPr>
      </w:pPr>
      <w:r>
        <w:rPr>
          <w:rFonts w:hint="eastAsia"/>
          <w:sz w:val="52"/>
          <w:szCs w:val="52"/>
          <w:shd w:val="clear" w:color="auto" w:fill="auto"/>
        </w:rPr>
        <w:t>部门决算</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2"/>
          <w:szCs w:val="32"/>
          <w:shd w:val="clear" w:color="auto" w:fill="auto"/>
        </w:rPr>
      </w:pPr>
      <w:r>
        <w:rPr>
          <w:rFonts w:hint="eastAsia"/>
          <w:sz w:val="32"/>
          <w:szCs w:val="32"/>
          <w:shd w:val="clear" w:color="auto" w:fill="auto"/>
        </w:rPr>
        <w:t>目录</w:t>
      </w:r>
    </w:p>
    <w:p>
      <w:pPr>
        <w:rPr>
          <w:rFonts w:hint="eastAsia"/>
          <w:sz w:val="32"/>
          <w:szCs w:val="32"/>
          <w:shd w:val="clear" w:color="auto" w:fill="auto"/>
        </w:rPr>
      </w:pPr>
    </w:p>
    <w:p>
      <w:pPr>
        <w:rPr>
          <w:rFonts w:hint="eastAsia"/>
          <w:sz w:val="32"/>
          <w:szCs w:val="32"/>
          <w:shd w:val="clear" w:color="auto" w:fill="auto"/>
        </w:rPr>
      </w:pPr>
      <w:r>
        <w:rPr>
          <w:rFonts w:hint="eastAsia"/>
          <w:sz w:val="32"/>
          <w:szCs w:val="32"/>
          <w:shd w:val="clear" w:color="auto" w:fill="auto"/>
        </w:rPr>
        <w:t>第一部分</w:t>
      </w:r>
      <w:r>
        <w:rPr>
          <w:rFonts w:hint="eastAsia"/>
          <w:sz w:val="32"/>
          <w:szCs w:val="32"/>
          <w:shd w:val="clear" w:color="auto" w:fill="auto"/>
          <w:lang w:val="en-US" w:eastAsia="zh-CN"/>
        </w:rPr>
        <w:t xml:space="preserve"> </w:t>
      </w:r>
      <w:r>
        <w:rPr>
          <w:rFonts w:hint="eastAsia"/>
          <w:sz w:val="32"/>
          <w:szCs w:val="32"/>
          <w:shd w:val="clear" w:color="auto" w:fill="auto"/>
        </w:rPr>
        <w:t>湖南省林木种子储备调剂中心概况</w:t>
      </w:r>
    </w:p>
    <w:p>
      <w:pPr>
        <w:rPr>
          <w:rFonts w:hint="eastAsia"/>
          <w:sz w:val="32"/>
          <w:szCs w:val="32"/>
          <w:shd w:val="clear" w:color="auto" w:fill="auto"/>
        </w:rPr>
      </w:pPr>
      <w:r>
        <w:rPr>
          <w:rFonts w:hint="eastAsia"/>
          <w:sz w:val="32"/>
          <w:szCs w:val="32"/>
          <w:shd w:val="clear" w:color="auto" w:fill="auto"/>
        </w:rPr>
        <w:t>一、部门职责</w:t>
      </w:r>
    </w:p>
    <w:p>
      <w:pPr>
        <w:rPr>
          <w:rFonts w:hint="eastAsia"/>
          <w:sz w:val="32"/>
          <w:szCs w:val="32"/>
          <w:shd w:val="clear" w:color="auto" w:fill="auto"/>
        </w:rPr>
      </w:pPr>
      <w:r>
        <w:rPr>
          <w:rFonts w:hint="eastAsia"/>
          <w:sz w:val="32"/>
          <w:szCs w:val="32"/>
          <w:shd w:val="clear" w:color="auto" w:fill="auto"/>
        </w:rPr>
        <w:t>二、机构设置</w:t>
      </w:r>
    </w:p>
    <w:p>
      <w:pPr>
        <w:rPr>
          <w:rFonts w:hint="eastAsia"/>
          <w:sz w:val="32"/>
          <w:szCs w:val="32"/>
          <w:shd w:val="clear" w:color="auto" w:fill="auto"/>
        </w:rPr>
      </w:pPr>
      <w:r>
        <w:rPr>
          <w:rFonts w:hint="eastAsia"/>
          <w:sz w:val="32"/>
          <w:szCs w:val="32"/>
          <w:shd w:val="clear" w:color="auto" w:fill="auto"/>
        </w:rPr>
        <w:t>第二部分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2020年度部门决算表</w:t>
      </w:r>
    </w:p>
    <w:p>
      <w:pPr>
        <w:rPr>
          <w:rFonts w:hint="eastAsia"/>
          <w:sz w:val="32"/>
          <w:szCs w:val="32"/>
          <w:shd w:val="clear" w:color="auto" w:fill="auto"/>
        </w:rPr>
      </w:pPr>
      <w:r>
        <w:rPr>
          <w:rFonts w:hint="eastAsia"/>
          <w:sz w:val="32"/>
          <w:szCs w:val="32"/>
          <w:shd w:val="clear" w:color="auto" w:fill="auto"/>
        </w:rPr>
        <w:t>一、收入支出决算总表</w:t>
      </w:r>
    </w:p>
    <w:p>
      <w:pPr>
        <w:rPr>
          <w:rFonts w:hint="eastAsia"/>
          <w:sz w:val="32"/>
          <w:szCs w:val="32"/>
          <w:shd w:val="clear" w:color="auto" w:fill="auto"/>
        </w:rPr>
      </w:pPr>
      <w:r>
        <w:rPr>
          <w:rFonts w:hint="eastAsia"/>
          <w:sz w:val="32"/>
          <w:szCs w:val="32"/>
          <w:shd w:val="clear" w:color="auto" w:fill="auto"/>
        </w:rPr>
        <w:t>二、收入决算表</w:t>
      </w:r>
    </w:p>
    <w:p>
      <w:pPr>
        <w:rPr>
          <w:rFonts w:hint="eastAsia"/>
          <w:sz w:val="32"/>
          <w:szCs w:val="32"/>
          <w:shd w:val="clear" w:color="auto" w:fill="auto"/>
        </w:rPr>
      </w:pPr>
      <w:r>
        <w:rPr>
          <w:rFonts w:hint="eastAsia"/>
          <w:sz w:val="32"/>
          <w:szCs w:val="32"/>
          <w:shd w:val="clear" w:color="auto" w:fill="auto"/>
        </w:rPr>
        <w:t>三、支出决算表</w:t>
      </w:r>
    </w:p>
    <w:p>
      <w:pPr>
        <w:rPr>
          <w:rFonts w:hint="eastAsia"/>
          <w:sz w:val="32"/>
          <w:szCs w:val="32"/>
          <w:shd w:val="clear" w:color="auto" w:fill="auto"/>
        </w:rPr>
      </w:pPr>
      <w:r>
        <w:rPr>
          <w:rFonts w:hint="eastAsia"/>
          <w:sz w:val="32"/>
          <w:szCs w:val="32"/>
          <w:shd w:val="clear" w:color="auto" w:fill="auto"/>
        </w:rPr>
        <w:t>四、财政拨款收入支出决算总表</w:t>
      </w:r>
    </w:p>
    <w:p>
      <w:pPr>
        <w:rPr>
          <w:rFonts w:hint="eastAsia"/>
          <w:sz w:val="32"/>
          <w:szCs w:val="32"/>
          <w:shd w:val="clear" w:color="auto" w:fill="auto"/>
        </w:rPr>
      </w:pPr>
      <w:r>
        <w:rPr>
          <w:rFonts w:hint="eastAsia"/>
          <w:sz w:val="32"/>
          <w:szCs w:val="32"/>
          <w:shd w:val="clear" w:color="auto" w:fill="auto"/>
        </w:rPr>
        <w:t>五、一般公共预算财政拨款支出决算表</w:t>
      </w:r>
    </w:p>
    <w:p>
      <w:pPr>
        <w:rPr>
          <w:rFonts w:hint="eastAsia"/>
          <w:sz w:val="32"/>
          <w:szCs w:val="32"/>
          <w:shd w:val="clear" w:color="auto" w:fill="auto"/>
        </w:rPr>
      </w:pPr>
      <w:r>
        <w:rPr>
          <w:rFonts w:hint="eastAsia"/>
          <w:sz w:val="32"/>
          <w:szCs w:val="32"/>
          <w:shd w:val="clear" w:color="auto" w:fill="auto"/>
        </w:rPr>
        <w:t>六、一般公共预算财政拨款基本支出决算表</w:t>
      </w:r>
    </w:p>
    <w:p>
      <w:pPr>
        <w:rPr>
          <w:rFonts w:hint="eastAsia"/>
          <w:sz w:val="32"/>
          <w:szCs w:val="32"/>
          <w:shd w:val="clear" w:color="auto" w:fill="auto"/>
        </w:rPr>
      </w:pPr>
      <w:r>
        <w:rPr>
          <w:rFonts w:hint="eastAsia"/>
          <w:sz w:val="32"/>
          <w:szCs w:val="32"/>
          <w:shd w:val="clear" w:color="auto" w:fill="auto"/>
        </w:rPr>
        <w:t>七、一般公共预算财政拨款“三公”经费支岀决算表</w:t>
      </w:r>
    </w:p>
    <w:p>
      <w:pPr>
        <w:rPr>
          <w:rFonts w:hint="eastAsia"/>
          <w:sz w:val="32"/>
          <w:szCs w:val="32"/>
          <w:shd w:val="clear" w:color="auto" w:fill="auto"/>
        </w:rPr>
      </w:pPr>
      <w:r>
        <w:rPr>
          <w:rFonts w:hint="eastAsia"/>
          <w:sz w:val="32"/>
          <w:szCs w:val="32"/>
          <w:shd w:val="clear" w:color="auto" w:fill="auto"/>
        </w:rPr>
        <w:t>八、政府性基金预算财政拨款收入支出决算表</w:t>
      </w:r>
    </w:p>
    <w:p>
      <w:pPr>
        <w:rPr>
          <w:rFonts w:hint="eastAsia"/>
          <w:sz w:val="32"/>
          <w:szCs w:val="32"/>
          <w:shd w:val="clear" w:color="auto" w:fill="auto"/>
        </w:rPr>
      </w:pPr>
      <w:r>
        <w:rPr>
          <w:rFonts w:hint="eastAsia"/>
          <w:sz w:val="32"/>
          <w:szCs w:val="32"/>
          <w:shd w:val="clear" w:color="auto" w:fill="auto"/>
        </w:rPr>
        <w:t>九、国有资本经营预算财政拨款支出决算表</w:t>
      </w:r>
    </w:p>
    <w:p>
      <w:pPr>
        <w:rPr>
          <w:rFonts w:hint="eastAsia"/>
          <w:sz w:val="32"/>
          <w:szCs w:val="32"/>
          <w:shd w:val="clear" w:color="auto" w:fill="auto"/>
        </w:rPr>
      </w:pPr>
      <w:r>
        <w:rPr>
          <w:rFonts w:hint="eastAsia"/>
          <w:sz w:val="32"/>
          <w:szCs w:val="32"/>
          <w:shd w:val="clear" w:color="auto" w:fill="auto"/>
        </w:rPr>
        <w:t>第三部分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2020年度部门决算情况说明</w:t>
      </w:r>
    </w:p>
    <w:p>
      <w:pPr>
        <w:rPr>
          <w:rFonts w:hint="eastAsia"/>
          <w:sz w:val="32"/>
          <w:szCs w:val="32"/>
          <w:shd w:val="clear" w:color="auto" w:fill="auto"/>
        </w:rPr>
      </w:pPr>
      <w:r>
        <w:rPr>
          <w:rFonts w:hint="eastAsia"/>
          <w:sz w:val="32"/>
          <w:szCs w:val="32"/>
          <w:shd w:val="clear" w:color="auto" w:fill="auto"/>
        </w:rPr>
        <w:t>一、收入支出决算总体情况说明</w:t>
      </w:r>
    </w:p>
    <w:p>
      <w:pPr>
        <w:rPr>
          <w:rFonts w:hint="eastAsia"/>
          <w:sz w:val="32"/>
          <w:szCs w:val="32"/>
          <w:shd w:val="clear" w:color="auto" w:fill="auto"/>
        </w:rPr>
      </w:pPr>
      <w:r>
        <w:rPr>
          <w:rFonts w:hint="eastAsia"/>
          <w:sz w:val="32"/>
          <w:szCs w:val="32"/>
          <w:shd w:val="clear" w:color="auto" w:fill="auto"/>
        </w:rPr>
        <w:t>二、收入决算情况说明</w:t>
      </w:r>
    </w:p>
    <w:p>
      <w:pPr>
        <w:rPr>
          <w:rFonts w:hint="eastAsia"/>
          <w:sz w:val="32"/>
          <w:szCs w:val="32"/>
          <w:shd w:val="clear" w:color="auto" w:fill="auto"/>
        </w:rPr>
      </w:pPr>
      <w:r>
        <w:rPr>
          <w:rFonts w:hint="eastAsia"/>
          <w:sz w:val="32"/>
          <w:szCs w:val="32"/>
          <w:shd w:val="clear" w:color="auto" w:fill="auto"/>
        </w:rPr>
        <w:t>三、支出决算情况说明</w:t>
      </w:r>
    </w:p>
    <w:p>
      <w:pPr>
        <w:rPr>
          <w:rFonts w:hint="eastAsia"/>
          <w:sz w:val="32"/>
          <w:szCs w:val="32"/>
          <w:shd w:val="clear" w:color="auto" w:fill="auto"/>
        </w:rPr>
      </w:pPr>
      <w:r>
        <w:rPr>
          <w:rFonts w:hint="eastAsia"/>
          <w:sz w:val="32"/>
          <w:szCs w:val="32"/>
          <w:shd w:val="clear" w:color="auto" w:fill="auto"/>
        </w:rPr>
        <w:t>四、财政拨款收入支出决算总体情况说明</w:t>
      </w:r>
    </w:p>
    <w:p>
      <w:pPr>
        <w:rPr>
          <w:rFonts w:hint="eastAsia"/>
          <w:sz w:val="32"/>
          <w:szCs w:val="32"/>
          <w:shd w:val="clear" w:color="auto" w:fill="auto"/>
        </w:rPr>
      </w:pPr>
      <w:r>
        <w:rPr>
          <w:rFonts w:hint="eastAsia"/>
          <w:sz w:val="32"/>
          <w:szCs w:val="32"/>
          <w:shd w:val="clear" w:color="auto" w:fill="auto"/>
        </w:rPr>
        <w:t>五、一般公共预算财政拨款支出决算情况说明</w:t>
      </w:r>
    </w:p>
    <w:p>
      <w:pPr>
        <w:rPr>
          <w:rFonts w:hint="eastAsia"/>
          <w:sz w:val="32"/>
          <w:szCs w:val="32"/>
          <w:shd w:val="clear" w:color="auto" w:fill="auto"/>
        </w:rPr>
      </w:pPr>
      <w:r>
        <w:rPr>
          <w:rFonts w:hint="eastAsia"/>
          <w:sz w:val="32"/>
          <w:szCs w:val="32"/>
          <w:shd w:val="clear" w:color="auto" w:fill="auto"/>
        </w:rPr>
        <w:t>六、一般公共预算财政拨款基本支出决算情况说明</w:t>
      </w:r>
    </w:p>
    <w:p>
      <w:pPr>
        <w:rPr>
          <w:rFonts w:hint="eastAsia"/>
          <w:sz w:val="32"/>
          <w:szCs w:val="32"/>
          <w:shd w:val="clear" w:color="auto" w:fill="auto"/>
        </w:rPr>
      </w:pPr>
      <w:r>
        <w:rPr>
          <w:rFonts w:hint="eastAsia"/>
          <w:sz w:val="32"/>
          <w:szCs w:val="32"/>
          <w:shd w:val="clear" w:color="auto" w:fill="auto"/>
        </w:rPr>
        <w:t>七、一般公共预算财政拨款三公经费支出决算情况说明</w:t>
      </w:r>
    </w:p>
    <w:p>
      <w:pPr>
        <w:rPr>
          <w:rFonts w:hint="eastAsia"/>
          <w:sz w:val="32"/>
          <w:szCs w:val="32"/>
          <w:shd w:val="clear" w:color="auto" w:fill="auto"/>
        </w:rPr>
      </w:pPr>
      <w:r>
        <w:rPr>
          <w:rFonts w:hint="eastAsia"/>
          <w:sz w:val="32"/>
          <w:szCs w:val="32"/>
          <w:shd w:val="clear" w:color="auto" w:fill="auto"/>
        </w:rPr>
        <w:t>八、政府性基金预算收入支出决算情况</w:t>
      </w:r>
    </w:p>
    <w:p>
      <w:pPr>
        <w:rPr>
          <w:rFonts w:hint="eastAsia"/>
          <w:sz w:val="32"/>
          <w:szCs w:val="32"/>
          <w:shd w:val="clear" w:color="auto" w:fill="auto"/>
        </w:rPr>
      </w:pPr>
      <w:r>
        <w:rPr>
          <w:rFonts w:hint="eastAsia"/>
          <w:sz w:val="32"/>
          <w:szCs w:val="32"/>
          <w:shd w:val="clear" w:color="auto" w:fill="auto"/>
        </w:rPr>
        <w:t>九、关于机关运行经费支出说明</w:t>
      </w:r>
    </w:p>
    <w:p>
      <w:pPr>
        <w:rPr>
          <w:rFonts w:hint="eastAsia"/>
          <w:sz w:val="32"/>
          <w:szCs w:val="32"/>
          <w:shd w:val="clear" w:color="auto" w:fill="auto"/>
        </w:rPr>
      </w:pPr>
      <w:r>
        <w:rPr>
          <w:rFonts w:hint="eastAsia"/>
          <w:sz w:val="32"/>
          <w:szCs w:val="32"/>
          <w:shd w:val="clear" w:color="auto" w:fill="auto"/>
        </w:rPr>
        <w:t>十、一般性支出情况</w:t>
      </w:r>
    </w:p>
    <w:p>
      <w:pPr>
        <w:rPr>
          <w:rFonts w:hint="eastAsia"/>
          <w:sz w:val="32"/>
          <w:szCs w:val="32"/>
          <w:shd w:val="clear" w:color="auto" w:fill="auto"/>
        </w:rPr>
      </w:pPr>
      <w:r>
        <w:rPr>
          <w:rFonts w:hint="eastAsia"/>
          <w:sz w:val="32"/>
          <w:szCs w:val="32"/>
          <w:shd w:val="clear" w:color="auto" w:fill="auto"/>
          <w:lang w:eastAsia="zh-CN"/>
        </w:rPr>
        <w:t>十一</w:t>
      </w:r>
      <w:r>
        <w:rPr>
          <w:rFonts w:hint="eastAsia"/>
          <w:sz w:val="32"/>
          <w:szCs w:val="32"/>
          <w:shd w:val="clear" w:color="auto" w:fill="auto"/>
        </w:rPr>
        <w:t>、关于政府采购支出说明</w:t>
      </w:r>
    </w:p>
    <w:p>
      <w:pPr>
        <w:rPr>
          <w:rFonts w:hint="eastAsia"/>
          <w:sz w:val="32"/>
          <w:szCs w:val="32"/>
          <w:shd w:val="clear" w:color="auto" w:fill="auto"/>
        </w:rPr>
      </w:pPr>
      <w:r>
        <w:rPr>
          <w:rFonts w:hint="eastAsia"/>
          <w:sz w:val="32"/>
          <w:szCs w:val="32"/>
          <w:shd w:val="clear" w:color="auto" w:fill="auto"/>
        </w:rPr>
        <w:t>十二、关于国有资产占用情况说明</w:t>
      </w:r>
    </w:p>
    <w:p>
      <w:pPr>
        <w:rPr>
          <w:rFonts w:hint="eastAsia"/>
          <w:sz w:val="32"/>
          <w:szCs w:val="32"/>
          <w:shd w:val="clear" w:color="auto" w:fill="auto"/>
        </w:rPr>
      </w:pPr>
      <w:r>
        <w:rPr>
          <w:rFonts w:hint="eastAsia"/>
          <w:sz w:val="32"/>
          <w:szCs w:val="32"/>
          <w:shd w:val="clear" w:color="auto" w:fill="auto"/>
        </w:rPr>
        <w:t>十三、关于2020年度预算绩效情况的说明</w:t>
      </w:r>
    </w:p>
    <w:p>
      <w:pPr>
        <w:rPr>
          <w:rFonts w:hint="eastAsia"/>
          <w:sz w:val="32"/>
          <w:szCs w:val="32"/>
          <w:shd w:val="clear" w:color="auto" w:fill="auto"/>
        </w:rPr>
      </w:pPr>
      <w:r>
        <w:rPr>
          <w:rFonts w:hint="eastAsia"/>
          <w:sz w:val="32"/>
          <w:szCs w:val="32"/>
          <w:shd w:val="clear" w:color="auto" w:fill="auto"/>
        </w:rPr>
        <w:t>第四部分</w:t>
      </w:r>
      <w:r>
        <w:rPr>
          <w:rFonts w:hint="eastAsia"/>
          <w:sz w:val="32"/>
          <w:szCs w:val="32"/>
          <w:shd w:val="clear" w:color="auto" w:fill="auto"/>
          <w:lang w:val="en-US" w:eastAsia="zh-CN"/>
        </w:rPr>
        <w:t xml:space="preserve"> </w:t>
      </w:r>
      <w:r>
        <w:rPr>
          <w:rFonts w:hint="eastAsia"/>
          <w:sz w:val="32"/>
          <w:szCs w:val="32"/>
          <w:shd w:val="clear" w:color="auto" w:fill="auto"/>
        </w:rPr>
        <w:t>名词解释</w:t>
      </w:r>
    </w:p>
    <w:p>
      <w:pPr>
        <w:rPr>
          <w:rFonts w:hint="eastAsia"/>
          <w:sz w:val="32"/>
          <w:szCs w:val="32"/>
          <w:shd w:val="clear" w:color="auto" w:fill="auto"/>
        </w:rPr>
      </w:pPr>
      <w:r>
        <w:rPr>
          <w:rFonts w:hint="eastAsia"/>
          <w:sz w:val="32"/>
          <w:szCs w:val="32"/>
          <w:shd w:val="clear" w:color="auto" w:fill="auto"/>
        </w:rPr>
        <w:t>第五部分</w:t>
      </w:r>
      <w:r>
        <w:rPr>
          <w:rFonts w:hint="eastAsia"/>
          <w:sz w:val="32"/>
          <w:szCs w:val="32"/>
          <w:shd w:val="clear" w:color="auto" w:fill="auto"/>
          <w:lang w:val="en-US" w:eastAsia="zh-CN"/>
        </w:rPr>
        <w:t xml:space="preserve"> </w:t>
      </w:r>
      <w:r>
        <w:rPr>
          <w:rFonts w:hint="eastAsia"/>
          <w:sz w:val="32"/>
          <w:szCs w:val="32"/>
          <w:shd w:val="clear" w:color="auto" w:fill="auto"/>
        </w:rPr>
        <w:t>附件</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6"/>
          <w:szCs w:val="36"/>
          <w:shd w:val="clear" w:color="auto" w:fill="auto"/>
        </w:rPr>
      </w:pPr>
      <w:r>
        <w:rPr>
          <w:rFonts w:hint="eastAsia"/>
          <w:sz w:val="36"/>
          <w:szCs w:val="36"/>
          <w:shd w:val="clear" w:color="auto" w:fill="auto"/>
        </w:rPr>
        <w:t>第</w:t>
      </w:r>
      <w:r>
        <w:rPr>
          <w:rFonts w:hint="eastAsia"/>
          <w:sz w:val="36"/>
          <w:szCs w:val="36"/>
          <w:shd w:val="clear" w:color="auto" w:fill="auto"/>
          <w:lang w:eastAsia="zh-CN"/>
        </w:rPr>
        <w:t>一</w:t>
      </w:r>
      <w:r>
        <w:rPr>
          <w:rFonts w:hint="eastAsia"/>
          <w:sz w:val="36"/>
          <w:szCs w:val="36"/>
          <w:shd w:val="clear" w:color="auto" w:fill="auto"/>
        </w:rPr>
        <w:t>部分</w:t>
      </w:r>
      <w:r>
        <w:rPr>
          <w:rFonts w:hint="eastAsia"/>
          <w:sz w:val="36"/>
          <w:szCs w:val="36"/>
          <w:shd w:val="clear" w:color="auto" w:fill="auto"/>
          <w:lang w:val="en-US" w:eastAsia="zh-CN"/>
        </w:rPr>
        <w:t xml:space="preserve"> </w:t>
      </w:r>
      <w:r>
        <w:rPr>
          <w:rFonts w:hint="eastAsia"/>
          <w:sz w:val="36"/>
          <w:szCs w:val="36"/>
          <w:shd w:val="clear" w:color="auto" w:fill="auto"/>
        </w:rPr>
        <w:t>湖南省林木种子储备调剂中心概况</w:t>
      </w:r>
    </w:p>
    <w:p>
      <w:pPr>
        <w:rPr>
          <w:rFonts w:hint="eastAsia"/>
          <w:shd w:val="clear" w:color="auto" w:fill="auto"/>
        </w:rPr>
      </w:pPr>
    </w:p>
    <w:p>
      <w:pPr>
        <w:ind w:firstLine="640" w:firstLineChars="200"/>
        <w:rPr>
          <w:rFonts w:hint="eastAsia"/>
          <w:sz w:val="32"/>
          <w:szCs w:val="32"/>
          <w:shd w:val="clear" w:color="auto" w:fill="auto"/>
        </w:rPr>
      </w:pPr>
      <w:r>
        <w:rPr>
          <w:rFonts w:hint="eastAsia"/>
          <w:sz w:val="32"/>
          <w:szCs w:val="32"/>
          <w:shd w:val="clear" w:color="auto" w:fill="auto"/>
        </w:rPr>
        <w:t>一、部门职责</w:t>
      </w:r>
    </w:p>
    <w:p>
      <w:pPr>
        <w:widowControl/>
        <w:spacing w:line="600" w:lineRule="exact"/>
        <w:ind w:firstLine="627" w:firstLineChars="196"/>
        <w:rPr>
          <w:rFonts w:hint="eastAsia"/>
          <w:sz w:val="32"/>
          <w:szCs w:val="32"/>
          <w:shd w:val="clear" w:color="auto" w:fill="auto"/>
          <w:lang w:eastAsia="zh-CN"/>
        </w:rPr>
      </w:pPr>
      <w:r>
        <w:rPr>
          <w:rFonts w:hint="eastAsia"/>
          <w:sz w:val="32"/>
          <w:szCs w:val="32"/>
          <w:shd w:val="clear" w:color="auto" w:fill="auto"/>
          <w:lang w:val="en-US" w:eastAsia="zh-CN"/>
        </w:rPr>
        <w:t xml:space="preserve"> </w:t>
      </w:r>
      <w:r>
        <w:rPr>
          <w:rFonts w:hint="eastAsia"/>
          <w:sz w:val="32"/>
          <w:szCs w:val="32"/>
          <w:shd w:val="clear" w:color="auto" w:fill="auto"/>
        </w:rPr>
        <w:t>湖南省林木种子储备调剂中心是</w:t>
      </w:r>
      <w:r>
        <w:rPr>
          <w:rFonts w:hint="eastAsia"/>
          <w:sz w:val="32"/>
          <w:szCs w:val="32"/>
          <w:shd w:val="clear" w:color="auto" w:fill="auto"/>
          <w:lang w:eastAsia="zh-CN"/>
        </w:rPr>
        <w:t>的主要职能是</w:t>
      </w:r>
      <w:r>
        <w:rPr>
          <w:rFonts w:hint="eastAsia"/>
          <w:sz w:val="32"/>
          <w:szCs w:val="32"/>
          <w:shd w:val="clear" w:color="auto" w:fill="auto"/>
        </w:rPr>
        <w:t>林木种子调拨、贮藏、调剂。</w:t>
      </w:r>
    </w:p>
    <w:p>
      <w:pPr>
        <w:ind w:firstLine="640" w:firstLineChars="200"/>
        <w:rPr>
          <w:rFonts w:hint="eastAsia"/>
          <w:sz w:val="32"/>
          <w:szCs w:val="32"/>
          <w:shd w:val="clear" w:color="auto" w:fill="auto"/>
        </w:rPr>
      </w:pPr>
      <w:r>
        <w:rPr>
          <w:rFonts w:hint="eastAsia"/>
          <w:sz w:val="32"/>
          <w:szCs w:val="32"/>
          <w:shd w:val="clear" w:color="auto" w:fill="auto"/>
        </w:rPr>
        <w:t>二、机构设置</w:t>
      </w:r>
    </w:p>
    <w:p>
      <w:pPr>
        <w:widowControl/>
        <w:spacing w:line="600" w:lineRule="exact"/>
        <w:ind w:firstLine="627" w:firstLineChars="196"/>
        <w:rPr>
          <w:rFonts w:hint="eastAsia" w:eastAsiaTheme="minorEastAsia"/>
          <w:sz w:val="32"/>
          <w:szCs w:val="32"/>
          <w:shd w:val="clear" w:color="auto" w:fill="auto"/>
          <w:lang w:eastAsia="zh-CN"/>
        </w:rPr>
      </w:pPr>
      <w:r>
        <w:rPr>
          <w:rFonts w:hint="eastAsia"/>
          <w:sz w:val="32"/>
          <w:szCs w:val="32"/>
          <w:shd w:val="clear" w:color="auto" w:fill="auto"/>
          <w:lang w:eastAsia="zh-CN"/>
        </w:rPr>
        <w:t>为湖南省林业局所属二级预算单位。</w:t>
      </w: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6"/>
          <w:szCs w:val="36"/>
          <w:shd w:val="clear" w:color="auto" w:fill="auto"/>
        </w:rPr>
      </w:pPr>
      <w:r>
        <w:rPr>
          <w:rFonts w:hint="eastAsia"/>
          <w:sz w:val="36"/>
          <w:szCs w:val="36"/>
          <w:shd w:val="clear" w:color="auto" w:fill="auto"/>
        </w:rPr>
        <w:t>第二部分</w:t>
      </w:r>
      <w:r>
        <w:rPr>
          <w:rFonts w:hint="eastAsia"/>
          <w:sz w:val="36"/>
          <w:szCs w:val="36"/>
          <w:shd w:val="clear" w:color="auto" w:fill="auto"/>
          <w:lang w:val="en-US" w:eastAsia="zh-CN"/>
        </w:rPr>
        <w:t xml:space="preserve"> </w:t>
      </w:r>
      <w:r>
        <w:rPr>
          <w:rFonts w:hint="eastAsia"/>
          <w:sz w:val="36"/>
          <w:szCs w:val="36"/>
          <w:shd w:val="clear" w:color="auto" w:fill="auto"/>
        </w:rPr>
        <w:t>部门决算表</w:t>
      </w:r>
    </w:p>
    <w:p>
      <w:pPr>
        <w:rPr>
          <w:rFonts w:hint="eastAsia"/>
          <w:sz w:val="32"/>
          <w:szCs w:val="32"/>
          <w:shd w:val="clear" w:color="auto" w:fill="auto"/>
          <w:lang w:eastAsia="zh-CN"/>
        </w:rPr>
      </w:pPr>
    </w:p>
    <w:p>
      <w:pPr>
        <w:jc w:val="center"/>
        <w:rPr>
          <w:rFonts w:hint="eastAsia" w:eastAsiaTheme="minorEastAsia"/>
          <w:sz w:val="32"/>
          <w:szCs w:val="32"/>
          <w:shd w:val="clear" w:color="auto" w:fill="auto"/>
          <w:lang w:eastAsia="zh-CN"/>
        </w:rPr>
      </w:pPr>
      <w:r>
        <w:rPr>
          <w:rFonts w:hint="eastAsia"/>
          <w:sz w:val="32"/>
          <w:szCs w:val="32"/>
          <w:shd w:val="clear" w:color="auto" w:fill="auto"/>
          <w:lang w:eastAsia="zh-CN"/>
        </w:rPr>
        <w:t>收入支出决算总表</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959"/>
        <w:gridCol w:w="668"/>
        <w:gridCol w:w="914"/>
        <w:gridCol w:w="2127"/>
        <w:gridCol w:w="508"/>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部门：湖南省林木种子储备调剂中心</w:t>
            </w:r>
          </w:p>
        </w:tc>
        <w:tc>
          <w:tcPr>
            <w:tcW w:w="391"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2020年度</w:t>
            </w:r>
          </w:p>
        </w:tc>
        <w:tc>
          <w:tcPr>
            <w:tcW w:w="1247"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66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收入</w:t>
            </w:r>
          </w:p>
        </w:tc>
        <w:tc>
          <w:tcPr>
            <w:tcW w:w="2335"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一、一般公共服务支出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二、政府性基金预算财政拨款收入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二、外交支出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三、国有资本经营预算财政拨款收入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四、上级补助收入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四、公共安全支出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五、事业收入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五、教育支出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六、经营收入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六、科学技术支出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七、附属单位上缴收入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七、文化旅游体育与传媒支出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八、其他收入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32.50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八、社会保障和就业支出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九、卫生健康支出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十、节能环保支出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十一、城乡社区支出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十二、农林水支出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371.26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十三、交通运输支出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十四、资源勘探工业信息等支出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十五、商业服务业等支出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十六、金融支出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十七、援助其他地区支出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十八、自然资源海洋气象等支出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十九、住房保障支出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二十、粮油物资储备支出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二十一、国有资本经营预算支出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二十二、灾害防治及应急管理支出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二十三、其他支出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二十四、债务还本支出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二十五、债务付息支出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二十六、抗疫特别国债安排的支出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本年收入合计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406.89</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本年支出合计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432.26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使用非财政拨款结余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26.44</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结余分配</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年初结转和结余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年末结转和结余</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391" w:type="pct"/>
            <w:tcBorders>
              <w:top w:val="nil"/>
              <w:left w:val="nil"/>
              <w:bottom w:val="single" w:color="000000" w:sz="12"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433.34</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433.34</w:t>
            </w:r>
          </w:p>
        </w:tc>
      </w:tr>
    </w:tbl>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rPr>
        <w:t>收入决算表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公开02表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228"/>
        <w:gridCol w:w="1378"/>
        <w:gridCol w:w="927"/>
        <w:gridCol w:w="927"/>
        <w:gridCol w:w="831"/>
        <w:gridCol w:w="845"/>
        <w:gridCol w:w="849"/>
        <w:gridCol w:w="61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本年收入合计</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财政拨款收入</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上级补助收入</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事业收入</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经营收入</w:t>
            </w:r>
          </w:p>
        </w:tc>
        <w:tc>
          <w:tcPr>
            <w:tcW w:w="35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附属单位上缴收入</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406.89</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374.39</w:t>
            </w:r>
          </w:p>
        </w:tc>
        <w:tc>
          <w:tcPr>
            <w:tcW w:w="8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137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8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345.89</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313.39</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345.89</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313.39</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330.89</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298.39</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2130205</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森林资源培育</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住房保障支出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22102</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住房改革支出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2210201</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注：本表反映部门本年度取得的各项收入情况。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lang w:eastAsia="zh-CN"/>
        </w:rPr>
        <w:t>支出</w:t>
      </w:r>
      <w:r>
        <w:rPr>
          <w:rFonts w:hint="eastAsia"/>
          <w:sz w:val="32"/>
          <w:szCs w:val="32"/>
          <w:shd w:val="clear" w:color="auto" w:fill="auto"/>
        </w:rPr>
        <w:t>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公开03表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22"/>
        <w:gridCol w:w="1404"/>
        <w:gridCol w:w="983"/>
        <w:gridCol w:w="983"/>
        <w:gridCol w:w="983"/>
        <w:gridCol w:w="983"/>
        <w:gridCol w:w="983"/>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432.26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417.26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371.26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356.26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371.26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356.26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356.26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356.26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森林资源培育</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住房保障支出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住房改革支出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2210201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29" w:type="dxa"/>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注：本表反映部门本年度各项支出情况。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财政拨款收入支出决算总表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公开04表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01"/>
        <w:gridCol w:w="391"/>
        <w:gridCol w:w="946"/>
        <w:gridCol w:w="1499"/>
        <w:gridCol w:w="393"/>
        <w:gridCol w:w="946"/>
        <w:gridCol w:w="946"/>
        <w:gridCol w:w="946"/>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44"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收     入</w:t>
            </w:r>
          </w:p>
        </w:tc>
        <w:tc>
          <w:tcPr>
            <w:tcW w:w="2455"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金额</w:t>
            </w:r>
          </w:p>
        </w:tc>
        <w:tc>
          <w:tcPr>
            <w:tcW w:w="87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一般公共预算财政拨款</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政府性基金预算财政拨款</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i w:val="0"/>
                <w:iCs w:val="0"/>
                <w:color w:val="000000"/>
                <w:sz w:val="16"/>
                <w:szCs w:val="16"/>
                <w:u w:val="none"/>
                <w:shd w:val="clear" w:color="auto" w:fill="auto"/>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both"/>
              <w:rPr>
                <w:rFonts w:hint="eastAsia" w:ascii="宋体" w:hAnsi="宋体" w:eastAsia="宋体" w:cs="宋体"/>
                <w:i w:val="0"/>
                <w:iCs w:val="0"/>
                <w:color w:val="000000"/>
                <w:sz w:val="16"/>
                <w:szCs w:val="16"/>
                <w:u w:val="none"/>
                <w:shd w:val="clear" w:color="auto" w:fill="auto"/>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55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一、一般公共预算财政拨款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一、一般公共服务支出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二、外交支出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三、国有资本经营财政拨款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三、国防支出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四、公共安全支出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五、教育支出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六、科学技术支出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七、文化旅游体育与传媒支出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八、社会保障和就业支出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九、卫生健康支出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十、节能环保支出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十一、城乡社区支出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十二、农林水支出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312.31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312.31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十三、交通运输支出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十四、资源勘探工业信息等支出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十五、商业服务业等支出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十六、金融支出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十七、援助其他地区支出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十八、自然资源海洋气象等支出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十九、住房保障支出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二十、粮油物资储备支出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二十一、国有资本经营预算支出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二十二、灾害防治及应急管理支出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二十三、其他支出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二十四、债务还本支出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二十五、债务付息支出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二十六、抗疫特别国债安排的支出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本年收入合计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本年支出合计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373.31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373.31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年初财政拨款结转和结余</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年末财政拨款结转和结余</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国有资本经营预算财政拨款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总计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总计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374.39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bl>
    <w:p>
      <w:pPr>
        <w:rPr>
          <w:rFonts w:hint="eastAsia"/>
          <w:sz w:val="16"/>
          <w:szCs w:val="16"/>
          <w:shd w:val="clear" w:color="auto" w:fill="auto"/>
        </w:rPr>
      </w:pPr>
      <w:r>
        <w:rPr>
          <w:rFonts w:hint="eastAsia"/>
          <w:sz w:val="16"/>
          <w:szCs w:val="16"/>
          <w:shd w:val="clear" w:color="auto" w:fill="auto"/>
        </w:rPr>
        <w:t>注：本表反映部门本年度一般公共预算财政拨款、政府性基金预算财政拨款和国有资本经营预算财政拨款的总收支和年末结转结余情况。</w:t>
      </w: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公开05表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90"/>
        <w:gridCol w:w="3342"/>
        <w:gridCol w:w="1295"/>
        <w:gridCol w:w="1295"/>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33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373.31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358.31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312.31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297.31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312.31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297.31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297.31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297.31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森林资源培育</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住房保障支出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22102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住房改革支出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2210201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17" w:type="dxa"/>
            <w:gridSpan w:val="5"/>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一般公共预算财政拨款基本支出决算表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公开06表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68"/>
        <w:gridCol w:w="1460"/>
        <w:gridCol w:w="790"/>
        <w:gridCol w:w="669"/>
        <w:gridCol w:w="1100"/>
        <w:gridCol w:w="755"/>
        <w:gridCol w:w="614"/>
        <w:gridCol w:w="1636"/>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712" w:type="pct"/>
            <w:gridSpan w:val="3"/>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w:t>
            </w:r>
          </w:p>
        </w:tc>
        <w:tc>
          <w:tcPr>
            <w:tcW w:w="3287" w:type="pct"/>
            <w:gridSpan w:val="6"/>
            <w:tcBorders>
              <w:top w:val="single" w:color="auto"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856"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63"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392"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645"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42"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360"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959"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86"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255" w:hRule="atLeast"/>
        </w:trPr>
        <w:tc>
          <w:tcPr>
            <w:tcW w:w="391" w:type="pct"/>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56"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63"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9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45"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4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60"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59"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6"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工资福利支出</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279.23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商品和服务支出</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9.53</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债务利息及费用支出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基本工资</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85.48</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办公费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30701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国内债务付息</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津贴补贴</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16.26</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印刷费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30702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国外债务付息</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42.37</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咨询费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资本性支出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30106</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伙食补助费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手续费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房屋建筑物购建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30107</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绩效工资</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54.44</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水费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办公设备购置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30108</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机关事业单位基本养老保险缴费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35.00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电费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31003</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专用设备购置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职业年金缴费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邮电费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31005</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基础设施建设</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30110</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职工基本医疗保险缴费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15.58</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取暖费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31006</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大型修缮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公务员医疗补助缴费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物业管理费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信息网络及软件购置更新</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其他社会保障缴费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4.10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差旅费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31008</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物资储备</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住房公积金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26.00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土地补偿</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30114</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维修（护）费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31010</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安置补助</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30199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其他工资福利支出</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租赁费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地上附着物和青苗补偿</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对个人和家庭的补助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69.55</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会议费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拆迁补偿</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离休费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15.29</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培训费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31013</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退休费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其他交通工具购置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退职（役）费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专用材料费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31021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文物和陈列品购置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30304</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抚恤金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被装购置费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31022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无形资产购置</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30305</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生活补助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专用燃料费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其他资本性支出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30306</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救济费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劳务费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30307</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4.43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委托业务费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39906</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赠与</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30308</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助学金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工会经费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国家赔偿费用支出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奖励金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47.71</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福利费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1.60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39908</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对民间非营利组织和群众性自治组织补贴</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30310</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个人农业生产补贴</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30231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公务用车运行维护费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1.93</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代缴社会保险费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30239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其他交通费用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30399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其他对个人和家庭的补助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2.12</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30240</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税金及附加费用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56"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08"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30299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其他商品和服务支出</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8" w:type="pct"/>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人员经费合计</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348.78</w:t>
            </w:r>
          </w:p>
        </w:tc>
        <w:tc>
          <w:tcPr>
            <w:tcW w:w="2800" w:type="pct"/>
            <w:gridSpan w:val="5"/>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公用经费合计</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注：本表反映部门本年度一般公共预算财政拨款基本支出明细情况。</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一般公共预算财政拨款“三公”经费支出决算表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公开07表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708"/>
        <w:gridCol w:w="708"/>
        <w:gridCol w:w="708"/>
        <w:gridCol w:w="708"/>
        <w:gridCol w:w="711"/>
        <w:gridCol w:w="715"/>
        <w:gridCol w:w="709"/>
        <w:gridCol w:w="709"/>
        <w:gridCol w:w="709"/>
        <w:gridCol w:w="709"/>
        <w:gridCol w:w="71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499"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预算数</w:t>
            </w:r>
          </w:p>
        </w:tc>
        <w:tc>
          <w:tcPr>
            <w:tcW w:w="25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125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10</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2.70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w:t>
            </w:r>
          </w:p>
        </w:tc>
        <w:tc>
          <w:tcPr>
            <w:tcW w:w="7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0.20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1.93</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1.93</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1.93</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政府性基金预算财政拨款收入支出决算表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公开08表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096"/>
        <w:gridCol w:w="1363"/>
        <w:gridCol w:w="1118"/>
        <w:gridCol w:w="958"/>
        <w:gridCol w:w="854"/>
        <w:gridCol w:w="1072"/>
        <w:gridCol w:w="1051"/>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年初结转和结余</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注：本单位无政府性基金预算。</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国有资本经营预算财政拨款支出决算表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公开09表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湖南省林木种子储备调剂中心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172"/>
        <w:gridCol w:w="2837"/>
        <w:gridCol w:w="1499"/>
        <w:gridCol w:w="1499"/>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264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66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6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注：本单位无国有资本经营预算财政拨款支出情况。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44"/>
          <w:szCs w:val="44"/>
          <w:shd w:val="clear" w:color="auto" w:fill="auto"/>
        </w:rPr>
      </w:pPr>
      <w:r>
        <w:rPr>
          <w:rFonts w:hint="eastAsia"/>
          <w:sz w:val="44"/>
          <w:szCs w:val="44"/>
          <w:shd w:val="clear" w:color="auto" w:fill="auto"/>
        </w:rPr>
        <w:t>第三部分</w:t>
      </w:r>
      <w:r>
        <w:rPr>
          <w:rFonts w:hint="eastAsia"/>
          <w:sz w:val="44"/>
          <w:szCs w:val="44"/>
          <w:shd w:val="clear" w:color="auto" w:fill="auto"/>
          <w:lang w:val="en-US" w:eastAsia="zh-CN"/>
        </w:rPr>
        <w:t xml:space="preserve"> </w:t>
      </w:r>
      <w:r>
        <w:rPr>
          <w:rFonts w:hint="eastAsia"/>
          <w:sz w:val="44"/>
          <w:szCs w:val="44"/>
          <w:shd w:val="clear" w:color="auto" w:fill="auto"/>
        </w:rPr>
        <w:t>2020年度部门决算情况说明</w:t>
      </w:r>
    </w:p>
    <w:p>
      <w:pPr>
        <w:rPr>
          <w:rFonts w:hint="eastAsia"/>
          <w:sz w:val="32"/>
          <w:szCs w:val="32"/>
          <w:shd w:val="clear" w:color="auto" w:fill="auto"/>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2020年度收、支总计</w:t>
      </w:r>
      <w:r>
        <w:rPr>
          <w:rFonts w:hint="eastAsia" w:ascii="仿宋_GB2312" w:hAnsi="仿宋_GB2312" w:eastAsia="仿宋_GB2312" w:cs="仿宋_GB2312"/>
          <w:sz w:val="32"/>
          <w:szCs w:val="32"/>
          <w:shd w:val="clear" w:color="auto" w:fill="auto"/>
          <w:lang w:val="en-US" w:eastAsia="zh-CN"/>
        </w:rPr>
        <w:t>433.34</w:t>
      </w:r>
      <w:r>
        <w:rPr>
          <w:rFonts w:hint="eastAsia" w:ascii="仿宋_GB2312" w:hAnsi="仿宋_GB2312" w:eastAsia="仿宋_GB2312" w:cs="仿宋_GB2312"/>
          <w:sz w:val="32"/>
          <w:szCs w:val="32"/>
          <w:shd w:val="clear" w:color="auto" w:fill="auto"/>
        </w:rPr>
        <w:t>万元。与上年相比，增加</w:t>
      </w:r>
      <w:r>
        <w:rPr>
          <w:rFonts w:hint="eastAsia" w:ascii="仿宋_GB2312" w:hAnsi="仿宋_GB2312" w:eastAsia="仿宋_GB2312" w:cs="仿宋_GB2312"/>
          <w:sz w:val="32"/>
          <w:szCs w:val="32"/>
          <w:shd w:val="clear" w:color="auto" w:fill="auto"/>
          <w:lang w:val="en-US" w:eastAsia="zh-CN"/>
        </w:rPr>
        <w:t>1.05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与上年基本持平。</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二、收入决算情况说明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本年收入合计</w:t>
      </w:r>
      <w:r>
        <w:rPr>
          <w:rFonts w:hint="eastAsia" w:ascii="仿宋_GB2312" w:hAnsi="仿宋_GB2312" w:eastAsia="仿宋_GB2312" w:cs="仿宋_GB2312"/>
          <w:sz w:val="32"/>
          <w:szCs w:val="32"/>
          <w:shd w:val="clear" w:color="auto" w:fill="auto"/>
          <w:lang w:val="en-US" w:eastAsia="zh-CN"/>
        </w:rPr>
        <w:t>406.89</w:t>
      </w:r>
      <w:r>
        <w:rPr>
          <w:rFonts w:hint="eastAsia" w:ascii="仿宋_GB2312" w:hAnsi="仿宋_GB2312" w:eastAsia="仿宋_GB2312" w:cs="仿宋_GB2312"/>
          <w:sz w:val="32"/>
          <w:szCs w:val="32"/>
          <w:shd w:val="clear" w:color="auto" w:fill="auto"/>
        </w:rPr>
        <w:t>万元，其中：财政拨款收入</w:t>
      </w:r>
      <w:r>
        <w:rPr>
          <w:rFonts w:hint="eastAsia" w:ascii="仿宋_GB2312" w:hAnsi="仿宋_GB2312" w:eastAsia="仿宋_GB2312" w:cs="仿宋_GB2312"/>
          <w:sz w:val="32"/>
          <w:szCs w:val="32"/>
          <w:shd w:val="clear" w:color="auto" w:fill="auto"/>
          <w:lang w:val="en-US" w:eastAsia="zh-CN"/>
        </w:rPr>
        <w:t>374.39</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92.01</w:t>
      </w:r>
      <w:r>
        <w:rPr>
          <w:rFonts w:hint="eastAsia" w:ascii="仿宋_GB2312" w:hAnsi="仿宋_GB2312" w:eastAsia="仿宋_GB2312" w:cs="仿宋_GB2312"/>
          <w:sz w:val="32"/>
          <w:szCs w:val="32"/>
          <w:shd w:val="clear" w:color="auto" w:fill="auto"/>
        </w:rPr>
        <w:t>%；上级补助收入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%；事业收入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%；经营收入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%；附属单位上缴收入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%；其他收入</w:t>
      </w:r>
      <w:r>
        <w:rPr>
          <w:rFonts w:hint="eastAsia" w:ascii="仿宋_GB2312" w:hAnsi="仿宋_GB2312" w:eastAsia="仿宋_GB2312" w:cs="仿宋_GB2312"/>
          <w:sz w:val="32"/>
          <w:szCs w:val="32"/>
          <w:shd w:val="clear" w:color="auto" w:fill="auto"/>
          <w:lang w:val="en-US" w:eastAsia="zh-CN"/>
        </w:rPr>
        <w:t>32.05</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7.99</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本年支出合计</w:t>
      </w:r>
      <w:r>
        <w:rPr>
          <w:rFonts w:hint="eastAsia" w:ascii="仿宋_GB2312" w:hAnsi="仿宋_GB2312" w:eastAsia="仿宋_GB2312" w:cs="仿宋_GB2312"/>
          <w:sz w:val="32"/>
          <w:szCs w:val="32"/>
          <w:shd w:val="clear" w:color="auto" w:fill="auto"/>
          <w:lang w:val="en-US" w:eastAsia="zh-CN"/>
        </w:rPr>
        <w:t>432.26</w:t>
      </w:r>
      <w:r>
        <w:rPr>
          <w:rFonts w:hint="eastAsia" w:ascii="仿宋_GB2312" w:hAnsi="仿宋_GB2312" w:eastAsia="仿宋_GB2312" w:cs="仿宋_GB2312"/>
          <w:sz w:val="32"/>
          <w:szCs w:val="32"/>
          <w:shd w:val="clear" w:color="auto" w:fill="auto"/>
        </w:rPr>
        <w:t>万元，其中：基本支出</w:t>
      </w:r>
      <w:r>
        <w:rPr>
          <w:rFonts w:hint="eastAsia" w:ascii="仿宋_GB2312" w:hAnsi="仿宋_GB2312" w:eastAsia="仿宋_GB2312" w:cs="仿宋_GB2312"/>
          <w:sz w:val="32"/>
          <w:szCs w:val="32"/>
          <w:shd w:val="clear" w:color="auto" w:fill="auto"/>
          <w:lang w:val="en-US" w:eastAsia="zh-CN"/>
        </w:rPr>
        <w:t>417.26</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96.53</w:t>
      </w:r>
      <w:r>
        <w:rPr>
          <w:rFonts w:hint="eastAsia" w:ascii="仿宋_GB2312" w:hAnsi="仿宋_GB2312" w:eastAsia="仿宋_GB2312" w:cs="仿宋_GB2312"/>
          <w:sz w:val="32"/>
          <w:szCs w:val="32"/>
          <w:shd w:val="clear" w:color="auto" w:fill="auto"/>
        </w:rPr>
        <w:t>%；项目支出</w:t>
      </w:r>
      <w:r>
        <w:rPr>
          <w:rFonts w:hint="eastAsia" w:ascii="仿宋_GB2312" w:hAnsi="仿宋_GB2312" w:eastAsia="仿宋_GB2312" w:cs="仿宋_GB2312"/>
          <w:sz w:val="32"/>
          <w:szCs w:val="32"/>
          <w:shd w:val="clear" w:color="auto" w:fill="auto"/>
          <w:lang w:val="en-US" w:eastAsia="zh-CN"/>
        </w:rPr>
        <w:t>15</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3.74</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四、财政拨款收入支出决算总体情况说明</w:t>
      </w:r>
    </w:p>
    <w:p>
      <w:pPr>
        <w:ind w:firstLine="640" w:firstLineChars="200"/>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2020年度财政拨款收、支总计</w:t>
      </w:r>
      <w:r>
        <w:rPr>
          <w:rFonts w:hint="eastAsia" w:ascii="仿宋_GB2312" w:hAnsi="仿宋_GB2312" w:eastAsia="仿宋_GB2312" w:cs="仿宋_GB2312"/>
          <w:sz w:val="32"/>
          <w:szCs w:val="32"/>
          <w:shd w:val="clear" w:color="auto" w:fill="auto"/>
          <w:lang w:val="en-US" w:eastAsia="zh-CN"/>
        </w:rPr>
        <w:t>374.39</w:t>
      </w:r>
      <w:r>
        <w:rPr>
          <w:rFonts w:hint="eastAsia" w:ascii="仿宋_GB2312" w:hAnsi="仿宋_GB2312" w:eastAsia="仿宋_GB2312" w:cs="仿宋_GB2312"/>
          <w:sz w:val="32"/>
          <w:szCs w:val="32"/>
          <w:shd w:val="clear" w:color="auto" w:fill="auto"/>
        </w:rPr>
        <w:t>万元，与上年相比，增加</w:t>
      </w:r>
      <w:r>
        <w:rPr>
          <w:rFonts w:hint="eastAsia" w:ascii="仿宋_GB2312" w:hAnsi="仿宋_GB2312" w:eastAsia="仿宋_GB2312" w:cs="仿宋_GB2312"/>
          <w:sz w:val="32"/>
          <w:szCs w:val="32"/>
          <w:shd w:val="clear" w:color="auto" w:fill="auto"/>
          <w:lang w:val="en-US" w:eastAsia="zh-CN"/>
        </w:rPr>
        <w:t>16.61</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下降</w:t>
      </w:r>
      <w:r>
        <w:rPr>
          <w:rFonts w:hint="eastAsia" w:ascii="仿宋_GB2312" w:hAnsi="仿宋_GB2312" w:eastAsia="仿宋_GB2312" w:cs="仿宋_GB2312"/>
          <w:sz w:val="32"/>
          <w:szCs w:val="32"/>
          <w:shd w:val="clear" w:color="auto" w:fill="auto"/>
          <w:lang w:val="en-US" w:eastAsia="zh-CN"/>
        </w:rPr>
        <w:t>4.2</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w:t>
      </w:r>
      <w:r>
        <w:rPr>
          <w:rFonts w:hint="eastAsia" w:ascii="仿宋_GB2312" w:hAnsi="仿宋_GB2312" w:eastAsia="仿宋_GB2312" w:cs="仿宋_GB2312"/>
          <w:sz w:val="32"/>
          <w:szCs w:val="32"/>
          <w:shd w:val="clear" w:color="auto" w:fill="auto"/>
          <w:lang w:eastAsia="zh-CN"/>
        </w:rPr>
        <w:t>原因是：</w:t>
      </w:r>
      <w:r>
        <w:rPr>
          <w:rFonts w:hint="eastAsia" w:ascii="仿宋_GB2312" w:hAnsi="仿宋_GB2312" w:eastAsia="仿宋_GB2312" w:cs="仿宋_GB2312"/>
          <w:sz w:val="32"/>
          <w:szCs w:val="32"/>
          <w:shd w:val="clear" w:color="auto" w:fill="auto"/>
          <w:lang w:val="en-US" w:eastAsia="zh-CN"/>
        </w:rPr>
        <w:t>2019年未形成结余结转。</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五、一般公共预算财政拨款支出决算情况说明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（一）财政拨款支出决算总体情况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373.31</w:t>
      </w:r>
      <w:r>
        <w:rPr>
          <w:rFonts w:hint="eastAsia" w:ascii="仿宋_GB2312" w:hAnsi="仿宋_GB2312" w:eastAsia="仿宋_GB2312" w:cs="仿宋_GB2312"/>
          <w:sz w:val="32"/>
          <w:szCs w:val="32"/>
          <w:shd w:val="clear" w:color="auto" w:fill="auto"/>
        </w:rPr>
        <w:t>万元，占本年支出合计的</w:t>
      </w:r>
      <w:r>
        <w:rPr>
          <w:rFonts w:hint="eastAsia" w:ascii="仿宋_GB2312" w:hAnsi="仿宋_GB2312" w:eastAsia="仿宋_GB2312" w:cs="仿宋_GB2312"/>
          <w:sz w:val="32"/>
          <w:szCs w:val="32"/>
          <w:shd w:val="clear" w:color="auto" w:fill="auto"/>
          <w:lang w:val="en-US" w:eastAsia="zh-CN"/>
        </w:rPr>
        <w:t>99.71</w:t>
      </w:r>
      <w:r>
        <w:rPr>
          <w:rFonts w:hint="eastAsia" w:ascii="仿宋_GB2312" w:hAnsi="仿宋_GB2312" w:eastAsia="仿宋_GB2312" w:cs="仿宋_GB2312"/>
          <w:sz w:val="32"/>
          <w:szCs w:val="32"/>
          <w:shd w:val="clear" w:color="auto" w:fill="auto"/>
        </w:rPr>
        <w:t>%,与上年相比，财政拨款支出减少</w:t>
      </w:r>
      <w:r>
        <w:rPr>
          <w:rFonts w:hint="eastAsia" w:ascii="仿宋_GB2312" w:hAnsi="仿宋_GB2312" w:eastAsia="仿宋_GB2312" w:cs="仿宋_GB2312"/>
          <w:sz w:val="32"/>
          <w:szCs w:val="32"/>
          <w:shd w:val="clear" w:color="auto" w:fill="auto"/>
          <w:lang w:val="en-US" w:eastAsia="zh-CN"/>
        </w:rPr>
        <w:t>17.69</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4.5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w:t>
      </w:r>
      <w:r>
        <w:rPr>
          <w:rFonts w:hint="eastAsia" w:ascii="仿宋_GB2312" w:hAnsi="仿宋_GB2312" w:eastAsia="仿宋_GB2312" w:cs="仿宋_GB2312"/>
          <w:sz w:val="32"/>
          <w:szCs w:val="32"/>
          <w:shd w:val="clear" w:color="auto" w:fill="auto"/>
          <w:lang w:eastAsia="zh-CN"/>
        </w:rPr>
        <w:t>原因是：</w:t>
      </w:r>
      <w:r>
        <w:rPr>
          <w:rFonts w:hint="eastAsia" w:ascii="仿宋_GB2312" w:hAnsi="仿宋_GB2312" w:eastAsia="仿宋_GB2312" w:cs="仿宋_GB2312"/>
          <w:sz w:val="32"/>
          <w:szCs w:val="32"/>
          <w:shd w:val="clear" w:color="auto" w:fill="auto"/>
          <w:lang w:val="en-US" w:eastAsia="zh-CN"/>
        </w:rPr>
        <w:t>2019年未形成结余结转</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（二）财政拨款支出决算结构情况</w:t>
      </w:r>
    </w:p>
    <w:p>
      <w:pP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373.31</w:t>
      </w:r>
      <w:r>
        <w:rPr>
          <w:rFonts w:hint="eastAsia" w:ascii="仿宋_GB2312" w:hAnsi="仿宋_GB2312" w:eastAsia="仿宋_GB2312" w:cs="仿宋_GB2312"/>
          <w:sz w:val="32"/>
          <w:szCs w:val="32"/>
          <w:shd w:val="clear" w:color="auto" w:fill="auto"/>
        </w:rPr>
        <w:t>万元，主要用于以下方面：社会保障和就业支出</w:t>
      </w:r>
      <w:r>
        <w:rPr>
          <w:rFonts w:hint="eastAsia" w:ascii="仿宋_GB2312" w:hAnsi="仿宋_GB2312" w:eastAsia="仿宋_GB2312" w:cs="仿宋_GB2312"/>
          <w:sz w:val="32"/>
          <w:szCs w:val="32"/>
          <w:shd w:val="clear" w:color="auto" w:fill="auto"/>
          <w:lang w:val="en-US" w:eastAsia="zh-CN"/>
        </w:rPr>
        <w:t>35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9.38</w:t>
      </w:r>
      <w:r>
        <w:rPr>
          <w:rFonts w:hint="eastAsia" w:ascii="仿宋_GB2312" w:hAnsi="仿宋_GB2312" w:eastAsia="仿宋_GB2312" w:cs="仿宋_GB2312"/>
          <w:sz w:val="32"/>
          <w:szCs w:val="32"/>
          <w:shd w:val="clear" w:color="auto" w:fill="auto"/>
        </w:rPr>
        <w:t>%；农林水支出</w:t>
      </w:r>
      <w:r>
        <w:rPr>
          <w:rFonts w:hint="eastAsia" w:ascii="仿宋_GB2312" w:hAnsi="仿宋_GB2312" w:eastAsia="仿宋_GB2312" w:cs="仿宋_GB2312"/>
          <w:sz w:val="32"/>
          <w:szCs w:val="32"/>
          <w:shd w:val="clear" w:color="auto" w:fill="auto"/>
          <w:lang w:val="en-US" w:eastAsia="zh-CN"/>
        </w:rPr>
        <w:t>312.31</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83.66</w:t>
      </w:r>
      <w:r>
        <w:rPr>
          <w:rFonts w:hint="eastAsia" w:ascii="仿宋_GB2312" w:hAnsi="仿宋_GB2312" w:eastAsia="仿宋_GB2312" w:cs="仿宋_GB2312"/>
          <w:sz w:val="32"/>
          <w:szCs w:val="32"/>
          <w:shd w:val="clear" w:color="auto" w:fill="auto"/>
        </w:rPr>
        <w:t>%;住房保障支出</w:t>
      </w:r>
      <w:r>
        <w:rPr>
          <w:rFonts w:hint="eastAsia" w:ascii="仿宋_GB2312" w:hAnsi="仿宋_GB2312" w:eastAsia="仿宋_GB2312" w:cs="仿宋_GB2312"/>
          <w:sz w:val="32"/>
          <w:szCs w:val="32"/>
          <w:shd w:val="clear" w:color="auto" w:fill="auto"/>
          <w:lang w:val="en-US" w:eastAsia="zh-CN"/>
        </w:rPr>
        <w:t>26万元，占6.96%。</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（三）财政拨款支出决算具体情况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2020年度财政拨款支出年初预算数为</w:t>
      </w:r>
      <w:r>
        <w:rPr>
          <w:rFonts w:hint="eastAsia" w:ascii="仿宋_GB2312" w:hAnsi="仿宋_GB2312" w:eastAsia="仿宋_GB2312" w:cs="仿宋_GB2312"/>
          <w:sz w:val="32"/>
          <w:szCs w:val="32"/>
          <w:shd w:val="clear" w:color="auto" w:fill="auto"/>
          <w:lang w:val="en-US" w:eastAsia="zh-CN"/>
        </w:rPr>
        <w:t>359.29</w:t>
      </w:r>
      <w:r>
        <w:rPr>
          <w:rFonts w:hint="eastAsia" w:ascii="仿宋_GB2312" w:hAnsi="仿宋_GB2312" w:eastAsia="仿宋_GB2312" w:cs="仿宋_GB2312"/>
          <w:sz w:val="32"/>
          <w:szCs w:val="32"/>
          <w:shd w:val="clear" w:color="auto" w:fill="auto"/>
        </w:rPr>
        <w:t>万元，支出决算数为</w:t>
      </w:r>
      <w:r>
        <w:rPr>
          <w:rFonts w:hint="eastAsia" w:ascii="仿宋_GB2312" w:hAnsi="仿宋_GB2312" w:eastAsia="仿宋_GB2312" w:cs="仿宋_GB2312"/>
          <w:sz w:val="32"/>
          <w:szCs w:val="32"/>
          <w:shd w:val="clear" w:color="auto" w:fill="auto"/>
          <w:lang w:val="en-US" w:eastAsia="zh-CN"/>
        </w:rPr>
        <w:t>373.31</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103.9</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1、社会保障和就业支出（类）行政事业单位养老支出（款）机关事业单位基本养老保险缴费支出（项）。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35</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35</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2、农林水支出（类）林业和草原（款）事业机构（项）。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278.39</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297.31</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106.8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、农林水支出（类）林业</w:t>
      </w:r>
      <w:bookmarkStart w:id="0" w:name="_GoBack"/>
      <w:bookmarkEnd w:id="0"/>
      <w:r>
        <w:rPr>
          <w:rFonts w:hint="eastAsia" w:ascii="仿宋_GB2312" w:hAnsi="仿宋_GB2312" w:eastAsia="仿宋_GB2312" w:cs="仿宋_GB2312"/>
          <w:sz w:val="32"/>
          <w:szCs w:val="32"/>
          <w:shd w:val="clear" w:color="auto" w:fill="auto"/>
        </w:rPr>
        <w:t>和草原（款）森林资源培育（项）。</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15</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75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,主要原因是年中进行了调整</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、住房保障支出（类）住房改革支出（款）住房公积金（项）。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26</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26</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六、一般公共预算财政拨款基本支出决算情况说明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2020年度财政拨款基本支岀</w:t>
      </w:r>
      <w:r>
        <w:rPr>
          <w:rFonts w:hint="eastAsia" w:ascii="仿宋_GB2312" w:hAnsi="仿宋_GB2312" w:eastAsia="仿宋_GB2312" w:cs="仿宋_GB2312"/>
          <w:sz w:val="32"/>
          <w:szCs w:val="32"/>
          <w:shd w:val="clear" w:color="auto" w:fill="auto"/>
          <w:lang w:val="en-US" w:eastAsia="zh-CN"/>
        </w:rPr>
        <w:t>358.31</w:t>
      </w:r>
      <w:r>
        <w:rPr>
          <w:rFonts w:hint="eastAsia" w:ascii="仿宋_GB2312" w:hAnsi="仿宋_GB2312" w:eastAsia="仿宋_GB2312" w:cs="仿宋_GB2312"/>
          <w:sz w:val="32"/>
          <w:szCs w:val="32"/>
          <w:shd w:val="clear" w:color="auto" w:fill="auto"/>
        </w:rPr>
        <w:t>万元，其中：人员经费</w:t>
      </w:r>
      <w:r>
        <w:rPr>
          <w:rFonts w:hint="eastAsia" w:ascii="仿宋_GB2312" w:hAnsi="仿宋_GB2312" w:eastAsia="仿宋_GB2312" w:cs="仿宋_GB2312"/>
          <w:sz w:val="32"/>
          <w:szCs w:val="32"/>
          <w:shd w:val="clear" w:color="auto" w:fill="auto"/>
          <w:lang w:val="en-US" w:eastAsia="zh-CN"/>
        </w:rPr>
        <w:t>348.78</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97.34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主要包括基本工资、津贴补贴、奖金、绩效工资</w:t>
      </w:r>
      <w:r>
        <w:rPr>
          <w:rFonts w:hint="eastAsia" w:ascii="仿宋_GB2312" w:hAnsi="仿宋_GB2312" w:eastAsia="仿宋_GB2312" w:cs="仿宋_GB2312"/>
          <w:sz w:val="32"/>
          <w:szCs w:val="32"/>
          <w:shd w:val="clear" w:color="auto" w:fill="auto"/>
          <w:lang w:eastAsia="zh-CN"/>
        </w:rPr>
        <w:t>、机关事业单位基本养老保险缴费、职工基本医疗保险缴费、其他社会保障缴费、住房公积金、离休费、医疗费补助、奖励金、其他对个人和家庭的补助</w:t>
      </w:r>
      <w:r>
        <w:rPr>
          <w:rFonts w:hint="eastAsia" w:ascii="仿宋_GB2312" w:hAnsi="仿宋_GB2312" w:eastAsia="仿宋_GB2312" w:cs="仿宋_GB2312"/>
          <w:sz w:val="32"/>
          <w:szCs w:val="32"/>
          <w:shd w:val="clear" w:color="auto" w:fill="auto"/>
        </w:rPr>
        <w:t>；公用经费</w:t>
      </w:r>
      <w:r>
        <w:rPr>
          <w:rFonts w:hint="eastAsia" w:ascii="仿宋_GB2312" w:hAnsi="仿宋_GB2312" w:eastAsia="仿宋_GB2312" w:cs="仿宋_GB2312"/>
          <w:sz w:val="32"/>
          <w:szCs w:val="32"/>
          <w:shd w:val="clear" w:color="auto" w:fill="auto"/>
          <w:lang w:val="en-US" w:eastAsia="zh-CN"/>
        </w:rPr>
        <w:t>9.53</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2.66</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w:t>
      </w:r>
      <w:r>
        <w:rPr>
          <w:rFonts w:hint="eastAsia" w:ascii="仿宋_GB2312" w:hAnsi="仿宋_GB2312" w:eastAsia="仿宋_GB2312" w:cs="仿宋_GB2312"/>
          <w:sz w:val="32"/>
          <w:szCs w:val="32"/>
          <w:shd w:val="clear" w:color="auto" w:fill="auto"/>
          <w:lang w:eastAsia="zh-CN"/>
        </w:rPr>
        <w:t>工会经费、福利费、公务用车运行维护费、其他交通费用</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七、一般公共预算财政拨款三公经费支出决算情况说明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（一）“三公”经费财政拨款支出决算总体情况说明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“三公”经费财政拨款支出预算为</w:t>
      </w:r>
      <w:r>
        <w:rPr>
          <w:rFonts w:hint="eastAsia" w:ascii="仿宋_GB2312" w:hAnsi="仿宋_GB2312" w:eastAsia="仿宋_GB2312" w:cs="仿宋_GB2312"/>
          <w:sz w:val="32"/>
          <w:szCs w:val="32"/>
          <w:shd w:val="clear" w:color="auto" w:fill="auto"/>
          <w:lang w:val="en-US" w:eastAsia="zh-CN"/>
        </w:rPr>
        <w:t>2.7</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1.93</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71.48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因公出国（境）费支出预算为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公务接待费支出预算为</w:t>
      </w:r>
      <w:r>
        <w:rPr>
          <w:rFonts w:hint="eastAsia" w:ascii="仿宋_GB2312" w:hAnsi="仿宋_GB2312" w:eastAsia="仿宋_GB2312" w:cs="仿宋_GB2312"/>
          <w:sz w:val="32"/>
          <w:szCs w:val="32"/>
          <w:shd w:val="clear" w:color="auto" w:fill="auto"/>
          <w:lang w:val="en-US" w:eastAsia="zh-CN"/>
        </w:rPr>
        <w:t>0.2</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决算数小于预算数的主要原因是</w:t>
      </w:r>
      <w:r>
        <w:rPr>
          <w:rFonts w:hint="eastAsia" w:ascii="仿宋_GB2312" w:hAnsi="仿宋_GB2312" w:eastAsia="仿宋_GB2312" w:cs="仿宋_GB2312"/>
          <w:sz w:val="32"/>
          <w:szCs w:val="32"/>
          <w:shd w:val="clear" w:color="auto" w:fill="auto"/>
          <w:lang w:eastAsia="zh-CN"/>
        </w:rPr>
        <w:t>厉行节约，减少了公务接待</w:t>
      </w:r>
      <w:r>
        <w:rPr>
          <w:rFonts w:hint="eastAsia" w:ascii="仿宋_GB2312" w:hAnsi="仿宋_GB2312" w:eastAsia="仿宋_GB2312" w:cs="仿宋_GB2312"/>
          <w:sz w:val="32"/>
          <w:szCs w:val="32"/>
          <w:shd w:val="clear" w:color="auto" w:fill="auto"/>
        </w:rPr>
        <w:t>，与上年</w:t>
      </w:r>
      <w:r>
        <w:rPr>
          <w:rFonts w:hint="eastAsia" w:ascii="仿宋_GB2312" w:hAnsi="仿宋_GB2312" w:eastAsia="仿宋_GB2312" w:cs="仿宋_GB2312"/>
          <w:sz w:val="32"/>
          <w:szCs w:val="32"/>
          <w:shd w:val="clear" w:color="auto" w:fill="auto"/>
          <w:lang w:eastAsia="zh-CN"/>
        </w:rPr>
        <w:t>相同</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公务用车购置费及运行维护费支出预算为</w:t>
      </w:r>
      <w:r>
        <w:rPr>
          <w:rFonts w:hint="eastAsia" w:ascii="仿宋_GB2312" w:hAnsi="仿宋_GB2312" w:eastAsia="仿宋_GB2312" w:cs="仿宋_GB2312"/>
          <w:sz w:val="32"/>
          <w:szCs w:val="32"/>
          <w:shd w:val="clear" w:color="auto" w:fill="auto"/>
          <w:lang w:val="en-US" w:eastAsia="zh-CN"/>
        </w:rPr>
        <w:t>2.5</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1.93</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77.2</w:t>
      </w:r>
      <w:r>
        <w:rPr>
          <w:rFonts w:hint="eastAsia" w:ascii="仿宋_GB2312" w:hAnsi="仿宋_GB2312" w:eastAsia="仿宋_GB2312" w:cs="仿宋_GB2312"/>
          <w:sz w:val="32"/>
          <w:szCs w:val="32"/>
          <w:shd w:val="clear" w:color="auto" w:fill="auto"/>
        </w:rPr>
        <w:t>%，与上年相比减少</w:t>
      </w:r>
      <w:r>
        <w:rPr>
          <w:rFonts w:hint="eastAsia" w:ascii="仿宋_GB2312" w:hAnsi="仿宋_GB2312" w:eastAsia="仿宋_GB2312" w:cs="仿宋_GB2312"/>
          <w:sz w:val="32"/>
          <w:szCs w:val="32"/>
          <w:shd w:val="clear" w:color="auto" w:fill="auto"/>
          <w:lang w:val="en-US" w:eastAsia="zh-CN"/>
        </w:rPr>
        <w:t>0.91</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32.04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减少的主要原因是</w:t>
      </w:r>
      <w:r>
        <w:rPr>
          <w:rFonts w:hint="eastAsia" w:ascii="仿宋_GB2312" w:hAnsi="仿宋_GB2312" w:eastAsia="仿宋_GB2312" w:cs="仿宋_GB2312"/>
          <w:sz w:val="32"/>
          <w:szCs w:val="32"/>
          <w:shd w:val="clear" w:color="auto" w:fill="auto"/>
          <w:lang w:eastAsia="zh-CN"/>
        </w:rPr>
        <w:t>厉行节约，减少了公务用车。</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（二）“三公”经费财政拨款支出决算具体情况说明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2020年度“三公”经费财政拨款支出决算中，公务接待费支出决算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因公出国（境）费支出决算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公务用车购置费及运行维护费支出决算</w:t>
      </w:r>
      <w:r>
        <w:rPr>
          <w:rFonts w:hint="eastAsia" w:ascii="仿宋_GB2312" w:hAnsi="仿宋_GB2312" w:eastAsia="仿宋_GB2312" w:cs="仿宋_GB2312"/>
          <w:sz w:val="32"/>
          <w:szCs w:val="32"/>
          <w:shd w:val="clear" w:color="auto" w:fill="auto"/>
          <w:lang w:val="en-US" w:eastAsia="zh-CN"/>
        </w:rPr>
        <w:t>1.93</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1、因公出国（境）费支出决算为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w:t>
      </w:r>
      <w:r>
        <w:rPr>
          <w:rFonts w:hint="eastAsia" w:ascii="仿宋_GB2312" w:hAnsi="仿宋_GB2312" w:eastAsia="仿宋_GB2312" w:cs="仿宋_GB2312"/>
          <w:sz w:val="32"/>
          <w:szCs w:val="32"/>
          <w:shd w:val="clear" w:color="auto" w:fill="auto"/>
        </w:rPr>
        <w:t>安排因公出国（境）团组</w:t>
      </w:r>
      <w:r>
        <w:rPr>
          <w:rFonts w:hint="eastAsia" w:ascii="仿宋_GB2312" w:hAnsi="仿宋_GB2312" w:eastAsia="仿宋_GB2312" w:cs="仿宋_GB2312"/>
          <w:sz w:val="32"/>
          <w:szCs w:val="32"/>
          <w:shd w:val="clear" w:color="auto" w:fill="auto"/>
          <w:lang w:eastAsia="zh-CN"/>
        </w:rPr>
        <w:t>及</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员。</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2、公务接待费支出决算为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未发生公务接待支出</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3、公务用车购置费及运行维护费支出决算为</w:t>
      </w:r>
      <w:r>
        <w:rPr>
          <w:rFonts w:hint="eastAsia" w:ascii="仿宋_GB2312" w:hAnsi="仿宋_GB2312" w:eastAsia="仿宋_GB2312" w:cs="仿宋_GB2312"/>
          <w:sz w:val="32"/>
          <w:szCs w:val="32"/>
          <w:shd w:val="clear" w:color="auto" w:fill="auto"/>
          <w:lang w:val="en-US" w:eastAsia="zh-CN"/>
        </w:rPr>
        <w:t>1.93</w:t>
      </w:r>
      <w:r>
        <w:rPr>
          <w:rFonts w:hint="eastAsia" w:ascii="仿宋_GB2312" w:hAnsi="仿宋_GB2312" w:eastAsia="仿宋_GB2312" w:cs="仿宋_GB2312"/>
          <w:sz w:val="32"/>
          <w:szCs w:val="32"/>
          <w:shd w:val="clear" w:color="auto" w:fill="auto"/>
        </w:rPr>
        <w:t>万元，其中：公务用车购置费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万元，公务用车运行维护费</w:t>
      </w:r>
      <w:r>
        <w:rPr>
          <w:rFonts w:hint="eastAsia" w:ascii="仿宋_GB2312" w:hAnsi="仿宋_GB2312" w:eastAsia="仿宋_GB2312" w:cs="仿宋_GB2312"/>
          <w:sz w:val="32"/>
          <w:szCs w:val="32"/>
          <w:shd w:val="clear" w:color="auto" w:fill="auto"/>
          <w:lang w:val="en-US" w:eastAsia="zh-CN"/>
        </w:rPr>
        <w:t>1.93</w:t>
      </w:r>
      <w:r>
        <w:rPr>
          <w:rFonts w:hint="eastAsia" w:ascii="仿宋_GB2312" w:hAnsi="仿宋_GB2312" w:eastAsia="仿宋_GB2312" w:cs="仿宋_GB2312"/>
          <w:sz w:val="32"/>
          <w:szCs w:val="32"/>
          <w:shd w:val="clear" w:color="auto" w:fill="auto"/>
        </w:rPr>
        <w:t>万元，主要是</w:t>
      </w:r>
      <w:r>
        <w:rPr>
          <w:rFonts w:hint="eastAsia" w:ascii="仿宋_GB2312" w:hAnsi="仿宋_GB2312" w:eastAsia="仿宋_GB2312" w:cs="仿宋_GB2312"/>
          <w:sz w:val="32"/>
          <w:szCs w:val="32"/>
          <w:shd w:val="clear" w:color="auto" w:fill="auto"/>
          <w:lang w:eastAsia="zh-CN"/>
        </w:rPr>
        <w:t>用于种子储备、调拨</w:t>
      </w:r>
      <w:r>
        <w:rPr>
          <w:rFonts w:hint="eastAsia" w:ascii="仿宋_GB2312" w:hAnsi="仿宋_GB2312" w:eastAsia="仿宋_GB2312" w:cs="仿宋_GB2312"/>
          <w:sz w:val="32"/>
          <w:szCs w:val="32"/>
          <w:shd w:val="clear" w:color="auto" w:fill="auto"/>
        </w:rPr>
        <w:t>支出，截止2020年12月31日，我单位开支财政拨款的公务用车保有量为</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八、政府性基金预算收入支出决算情况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本单位无政府性基金收支</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九、关于机关运行经费支出说明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本部门2020年度机关运行经费支出</w:t>
      </w:r>
      <w:r>
        <w:rPr>
          <w:rFonts w:hint="eastAsia" w:ascii="仿宋_GB2312" w:hAnsi="仿宋_GB2312" w:eastAsia="仿宋_GB2312" w:cs="仿宋_GB2312"/>
          <w:sz w:val="32"/>
          <w:szCs w:val="32"/>
          <w:shd w:val="clear" w:color="auto" w:fill="auto"/>
          <w:lang w:val="en-US" w:eastAsia="zh-CN"/>
        </w:rPr>
        <w:t>9.53</w:t>
      </w:r>
      <w:r>
        <w:rPr>
          <w:rFonts w:hint="eastAsia" w:ascii="仿宋_GB2312" w:hAnsi="仿宋_GB2312" w:eastAsia="仿宋_GB2312" w:cs="仿宋_GB2312"/>
          <w:sz w:val="32"/>
          <w:szCs w:val="32"/>
          <w:shd w:val="clear" w:color="auto" w:fill="auto"/>
        </w:rPr>
        <w:t>万元（与部门决算中行政单位和参照公务员法管理事业单位一般公共预算财政拨款基本支岀中公用经费之和一致）</w:t>
      </w:r>
      <w:r>
        <w:rPr>
          <w:rFonts w:hint="eastAsia" w:ascii="仿宋_GB2312" w:hAnsi="仿宋_GB2312" w:eastAsia="仿宋_GB2312" w:cs="仿宋_GB2312"/>
          <w:sz w:val="32"/>
          <w:szCs w:val="32"/>
          <w:shd w:val="clear" w:color="auto" w:fill="auto"/>
          <w:lang w:eastAsia="zh-CN"/>
        </w:rPr>
        <w:t>，较上年减少</w:t>
      </w:r>
      <w:r>
        <w:rPr>
          <w:rFonts w:hint="eastAsia" w:ascii="仿宋_GB2312" w:hAnsi="仿宋_GB2312" w:eastAsia="仿宋_GB2312" w:cs="仿宋_GB2312"/>
          <w:sz w:val="32"/>
          <w:szCs w:val="32"/>
          <w:shd w:val="clear" w:color="auto" w:fill="auto"/>
          <w:lang w:val="en-US" w:eastAsia="zh-CN"/>
        </w:rPr>
        <w:t>29.17万元，减少75.37%，主要原因是：2020年一次性压减</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十、一般性支出情况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2020年本部门</w:t>
      </w:r>
      <w:r>
        <w:rPr>
          <w:rFonts w:hint="eastAsia" w:ascii="仿宋_GB2312" w:hAnsi="仿宋_GB2312" w:eastAsia="仿宋_GB2312" w:cs="仿宋_GB2312"/>
          <w:sz w:val="32"/>
          <w:szCs w:val="32"/>
          <w:shd w:val="clear" w:color="auto" w:fill="auto"/>
          <w:lang w:eastAsia="zh-CN"/>
        </w:rPr>
        <w:t>未开支会议费及培训费</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十一、关于政府采购支出说明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本部门2020年度</w:t>
      </w:r>
      <w:r>
        <w:rPr>
          <w:rFonts w:hint="eastAsia" w:ascii="仿宋_GB2312" w:hAnsi="仿宋_GB2312" w:eastAsia="仿宋_GB2312" w:cs="仿宋_GB2312"/>
          <w:sz w:val="32"/>
          <w:szCs w:val="32"/>
          <w:shd w:val="clear" w:color="auto" w:fill="auto"/>
          <w:lang w:eastAsia="zh-CN"/>
        </w:rPr>
        <w:t>未发生</w:t>
      </w:r>
      <w:r>
        <w:rPr>
          <w:rFonts w:hint="eastAsia" w:ascii="仿宋_GB2312" w:hAnsi="仿宋_GB2312" w:eastAsia="仿宋_GB2312" w:cs="仿宋_GB2312"/>
          <w:sz w:val="32"/>
          <w:szCs w:val="32"/>
          <w:shd w:val="clear" w:color="auto" w:fill="auto"/>
        </w:rPr>
        <w:t>政府釆购支出</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十二、关于国有资产占用情况说明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截至2020年12月31</w:t>
      </w:r>
      <w:r>
        <w:rPr>
          <w:rFonts w:hint="eastAsia" w:ascii="仿宋_GB2312" w:hAnsi="仿宋_GB2312" w:eastAsia="仿宋_GB2312" w:cs="仿宋_GB2312"/>
          <w:sz w:val="32"/>
          <w:szCs w:val="32"/>
          <w:shd w:val="clear" w:color="auto" w:fill="auto"/>
          <w:lang w:eastAsia="zh-CN"/>
        </w:rPr>
        <w:t>日</w:t>
      </w:r>
      <w:r>
        <w:rPr>
          <w:rFonts w:hint="eastAsia" w:ascii="仿宋_GB2312" w:hAnsi="仿宋_GB2312" w:eastAsia="仿宋_GB2312" w:cs="仿宋_GB2312"/>
          <w:sz w:val="32"/>
          <w:szCs w:val="32"/>
          <w:shd w:val="clear" w:color="auto" w:fill="auto"/>
        </w:rPr>
        <w:t>,本单位共有车辆</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辆，其中，其他用车</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单位价值50万元以上通用设备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台（套）；单位价值100万元以上专用设备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w:t>
      </w:r>
    </w:p>
    <w:p>
      <w:pPr>
        <w:ind w:firstLine="640" w:firstLineChars="200"/>
        <w:rPr>
          <w:rFonts w:hint="eastAsia"/>
          <w:sz w:val="32"/>
          <w:szCs w:val="32"/>
        </w:rPr>
      </w:pPr>
    </w:p>
    <w:p>
      <w:pPr>
        <w:rPr>
          <w:rFonts w:hint="eastAsia"/>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r>
        <w:rPr>
          <w:rFonts w:hint="eastAsia"/>
          <w:sz w:val="44"/>
          <w:szCs w:val="44"/>
          <w:lang w:val="en-US" w:eastAsia="zh-CN"/>
        </w:rPr>
        <w:t xml:space="preserve"> </w:t>
      </w:r>
      <w:r>
        <w:rPr>
          <w:rFonts w:hint="eastAsia"/>
          <w:sz w:val="44"/>
          <w:szCs w:val="44"/>
        </w:rPr>
        <w:t>第四部分</w:t>
      </w:r>
      <w:r>
        <w:rPr>
          <w:rFonts w:hint="eastAsia"/>
          <w:sz w:val="44"/>
          <w:szCs w:val="44"/>
          <w:lang w:val="en-US" w:eastAsia="zh-CN"/>
        </w:rPr>
        <w:t xml:space="preserve"> </w:t>
      </w:r>
      <w:r>
        <w:rPr>
          <w:rFonts w:hint="eastAsia"/>
          <w:sz w:val="44"/>
          <w:szCs w:val="44"/>
        </w:rPr>
        <w:t>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ind w:firstLine="320" w:firstLineChars="100"/>
        <w:rPr>
          <w:rFonts w:hint="eastAsia"/>
          <w:sz w:val="32"/>
          <w:szCs w:val="32"/>
        </w:rPr>
      </w:pPr>
      <w:r>
        <w:rPr>
          <w:rFonts w:hint="eastAsia"/>
          <w:sz w:val="32"/>
          <w:szCs w:val="32"/>
        </w:rPr>
        <w:t>附件</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2020年度林木种子储备调剂中心</w:t>
      </w:r>
    </w:p>
    <w:p>
      <w:pPr>
        <w:jc w:val="center"/>
        <w:rPr>
          <w:rFonts w:ascii="宋体" w:hAnsi="宋体" w:eastAsia="宋体" w:cs="宋体"/>
          <w:b/>
          <w:bCs/>
          <w:sz w:val="44"/>
          <w:szCs w:val="44"/>
        </w:rPr>
      </w:pPr>
      <w:r>
        <w:rPr>
          <w:rFonts w:hint="eastAsia" w:ascii="宋体" w:hAnsi="宋体" w:eastAsia="宋体" w:cs="宋体"/>
          <w:b/>
          <w:bCs/>
          <w:sz w:val="44"/>
          <w:szCs w:val="44"/>
        </w:rPr>
        <w:t>整体支出绩效自评报告</w:t>
      </w:r>
    </w:p>
    <w:p>
      <w:pPr>
        <w:jc w:val="both"/>
        <w:rPr>
          <w:rFonts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（一）单位基本情况</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1、主要职能：林木种子调拨、贮藏、调剂。</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2、机构情况：本单位成立于1986年，属于湖南省林业局直属的全额拨款公益类事业单位。</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3、人员情况：年末编制人数19人，实有在职在编人员17人，离休人员1人，由养老保险基金发放养老金的退休人员14人。</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（二）单位年度整体支出绩效目标</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调剂入库种子质量17个种批，136个批次样品，共入库种子2851.2公斤，出库种子2250公斤，对506公斤不合格种子及时进行了处理，确保调剂发放的种子质量合格率达100%。严把种苗质量关，确保造林用种安全。严格执行质量检验程序，从源头上杜绝了假冒伪劣种子进入市场，对不合格种子及时进行了处理，保障了全省造林的质量和水平。</w:t>
      </w:r>
    </w:p>
    <w:p>
      <w:pPr>
        <w:pStyle w:val="7"/>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二、一般公共预算支出情况</w:t>
      </w:r>
    </w:p>
    <w:p>
      <w:pPr>
        <w:pStyle w:val="7"/>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（一）基本支出情况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2020年度基本支出417.26万元。其中:工资福利支出292.73万元，日常公用经费54.98万元，对个人和家庭的补助69.55万元。2020年部门预算安排“三公”经费2.7万元，实际支出1.93万元，其中公务车运行维护费1.93万元，无公务接待费和因公出国（境）费用。</w:t>
      </w:r>
    </w:p>
    <w:p>
      <w:pPr>
        <w:pStyle w:val="7"/>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（二）项目支出情况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我单位2020年度业务工作经费项目支出15万元，其中：办公费1.62万元，邮电费0.69万元，维修（护）费10.89万元，委托业务费1.8万元。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三、部门整体支出绩效情况</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我单位本年收入433.34（其中财政补助收入374.39万元，其他收入32.50万元，非财政拨款结余26.45万元），实际支出432.26万元（其中基本支出417.26万元，项目支出257.23万元），年末结余1.08万元。在局党组的正确领导下，我局围绕年初工作目标，克服新冠疫情影响，各项工作成效明显。通过加强预算管理，严控运行成本，我单位整体支出绩效管理水平得到提升。主要表现在以下几个方面：一是资金管理规范。严格按照财经法规管理和使用资金，认真贯彻落实财务管理制度办法，严把资金使用审核关口。二是履职效能突出。严把种苗质量关，确保造林用种安全。严格执行质量检验程序，从源头上杜绝了假冒伪劣种子进入市场，对不合格种子及时进行了处理，保障了全省造林的质量和水平。三是资金运行平稳。2020年度各项资金严格按预算执行，基本支出主要用于我单位日常运转所需的工资、社保等人员经费和办公等公用经费。项目支出主要用于我单位日常办公维修等方面。</w:t>
      </w:r>
    </w:p>
    <w:p>
      <w:pPr>
        <w:pStyle w:val="7"/>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四、存在的问题及原因分析</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本单位2020年预算支出执行虽较好的完成了，但因疫情原因，相关工程维修工作滞后，影响了项目资金在上半年的支出进度。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五、下一步改进措施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1、认真做好预算的编制，提高资金使用效率。进一步加强单位内部机构的预算管理意识，细化预算编制工作，严格按照预算编制的相关制度和要求进行预算编制，加强预算执行，提高预算资金的使用效率。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3、完善资产管理。规范各类资产的购置审批制度、资产处置和报废审批制度、资产管理岗位职责制度等，加强单位内部的资产管理工作。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六、绩效自评结果拟应用和公开情况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本次绩效自评结果将为我单位2021年提供资金使用依据和方向，以便进一步加快预算执行进度。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七、其他需要说明的情况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无</w:t>
      </w:r>
    </w:p>
    <w:p>
      <w:pPr>
        <w:widowControl/>
        <w:jc w:val="left"/>
        <w:rPr>
          <w:rFonts w:eastAsia="黑体"/>
          <w:szCs w:val="32"/>
        </w:rPr>
      </w:pPr>
      <w:r>
        <w:rPr>
          <w:rFonts w:eastAsia="黑体"/>
          <w:szCs w:val="32"/>
        </w:rPr>
        <w:br w:type="page"/>
      </w:r>
    </w:p>
    <w:p>
      <w:pPr>
        <w:widowControl/>
        <w:jc w:val="left"/>
        <w:rPr>
          <w:rFonts w:eastAsia="黑体"/>
          <w:szCs w:val="32"/>
        </w:rPr>
      </w:pPr>
      <w:r>
        <w:rPr>
          <w:rFonts w:eastAsia="黑体"/>
          <w:szCs w:val="32"/>
        </w:rPr>
        <w:t>附件</w:t>
      </w:r>
      <w:r>
        <w:rPr>
          <w:rFonts w:hint="eastAsia" w:eastAsia="黑体"/>
          <w:szCs w:val="32"/>
        </w:rPr>
        <w:t>1</w:t>
      </w:r>
    </w:p>
    <w:p>
      <w:pPr>
        <w:spacing w:line="560" w:lineRule="exact"/>
        <w:jc w:val="center"/>
        <w:rPr>
          <w:rFonts w:eastAsia="方正小标宋_GBK"/>
          <w:kern w:val="0"/>
          <w:szCs w:val="32"/>
        </w:rPr>
      </w:pPr>
      <w:r>
        <w:rPr>
          <w:rFonts w:hint="eastAsia" w:eastAsia="方正小标宋_GBK"/>
          <w:kern w:val="0"/>
          <w:szCs w:val="32"/>
        </w:rPr>
        <w:t>2020年度单位</w:t>
      </w:r>
      <w:r>
        <w:rPr>
          <w:rFonts w:eastAsia="方正小标宋_GBK"/>
          <w:kern w:val="0"/>
          <w:szCs w:val="32"/>
        </w:rPr>
        <w:t>整体支出绩效评价基础数据表</w:t>
      </w:r>
    </w:p>
    <w:tbl>
      <w:tblPr>
        <w:tblStyle w:val="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12" w:space="0"/>
              <w:left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财政供养人员情况</w:t>
            </w:r>
          </w:p>
        </w:tc>
        <w:tc>
          <w:tcPr>
            <w:tcW w:w="2038" w:type="dxa"/>
            <w:gridSpan w:val="2"/>
            <w:tcBorders>
              <w:top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编制数</w:t>
            </w:r>
          </w:p>
        </w:tc>
        <w:tc>
          <w:tcPr>
            <w:tcW w:w="2240" w:type="dxa"/>
            <w:gridSpan w:val="2"/>
            <w:tcBorders>
              <w:top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2020年实际在职人数</w:t>
            </w:r>
          </w:p>
        </w:tc>
        <w:tc>
          <w:tcPr>
            <w:tcW w:w="1832" w:type="dxa"/>
            <w:gridSpan w:val="2"/>
            <w:tcBorders>
              <w:top w:val="single" w:color="auto" w:sz="12" w:space="0"/>
              <w:right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left w:val="single" w:color="auto" w:sz="12" w:space="0"/>
            </w:tcBorders>
            <w:shd w:val="clear" w:color="auto" w:fill="auto"/>
            <w:noWrap/>
            <w:vAlign w:val="center"/>
          </w:tcPr>
          <w:p>
            <w:pPr>
              <w:widowControl/>
              <w:jc w:val="left"/>
              <w:rPr>
                <w:rFonts w:ascii="仿宋" w:hAnsi="仿宋" w:eastAsia="仿宋" w:cs="仿宋"/>
                <w:b/>
                <w:bCs/>
                <w:kern w:val="0"/>
                <w:sz w:val="24"/>
                <w:szCs w:val="24"/>
              </w:rPr>
            </w:pP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19</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17</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经费控制情况</w:t>
            </w:r>
          </w:p>
        </w:tc>
        <w:tc>
          <w:tcPr>
            <w:tcW w:w="2038" w:type="dxa"/>
            <w:gridSpan w:val="2"/>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2019年决算数</w:t>
            </w:r>
          </w:p>
        </w:tc>
        <w:tc>
          <w:tcPr>
            <w:tcW w:w="2240" w:type="dxa"/>
            <w:gridSpan w:val="2"/>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2020年预算数</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2020年决算数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三公经费</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1、公务用车购置和维护经费</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2.84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2.5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其中：公车购置</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公车运行维护</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2.84</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2.5</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2、出国经费</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3、公务接待</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0.2</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项目支出</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1、业务工作经费</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17.7</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15</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w:t>
            </w:r>
          </w:p>
        </w:tc>
        <w:tc>
          <w:tcPr>
            <w:tcW w:w="2038" w:type="dxa"/>
            <w:gridSpan w:val="2"/>
            <w:shd w:val="clear" w:color="auto" w:fill="auto"/>
            <w:noWrap/>
            <w:vAlign w:val="center"/>
          </w:tcPr>
          <w:p>
            <w:pPr>
              <w:widowControl/>
              <w:jc w:val="center"/>
              <w:rPr>
                <w:rFonts w:ascii="仿宋" w:hAnsi="仿宋" w:eastAsia="仿宋" w:cs="仿宋"/>
                <w:kern w:val="0"/>
                <w:sz w:val="24"/>
                <w:szCs w:val="24"/>
              </w:rPr>
            </w:pP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公用经费</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其中：办公费</w:t>
            </w:r>
          </w:p>
        </w:tc>
        <w:tc>
          <w:tcPr>
            <w:tcW w:w="2038"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2240"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水费、电费、差旅费</w:t>
            </w:r>
          </w:p>
        </w:tc>
        <w:tc>
          <w:tcPr>
            <w:tcW w:w="2038"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2240"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会议费、培训费</w:t>
            </w:r>
          </w:p>
        </w:tc>
        <w:tc>
          <w:tcPr>
            <w:tcW w:w="2038"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2240" w:type="dxa"/>
            <w:gridSpan w:val="2"/>
            <w:shd w:val="clear" w:color="auto" w:fill="auto"/>
            <w:noWrap/>
            <w:vAlign w:val="center"/>
          </w:tcPr>
          <w:p>
            <w:pPr>
              <w:widowControl/>
              <w:jc w:val="center"/>
              <w:rPr>
                <w:rFonts w:ascii="仿宋" w:hAnsi="仿宋" w:eastAsia="仿宋" w:cs="仿宋"/>
                <w:color w:val="FF0000"/>
                <w:kern w:val="0"/>
                <w:sz w:val="24"/>
                <w:szCs w:val="24"/>
              </w:rPr>
            </w:pPr>
            <w:r>
              <w:rPr>
                <w:rFonts w:hint="eastAsia" w:ascii="仿宋" w:hAnsi="仿宋" w:eastAsia="仿宋" w:cs="仿宋"/>
                <w:color w:val="FF0000"/>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政府采购金额</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部门基本支出预算调整 </w:t>
            </w:r>
          </w:p>
        </w:tc>
        <w:tc>
          <w:tcPr>
            <w:tcW w:w="2038"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shd w:val="clear" w:color="auto" w:fill="auto"/>
            <w:noWrap/>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楼堂馆所控制情况</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（2019年完工项目）</w:t>
            </w:r>
          </w:p>
        </w:tc>
        <w:tc>
          <w:tcPr>
            <w:tcW w:w="1189" w:type="dxa"/>
            <w:shd w:val="clear" w:color="auto" w:fill="auto"/>
            <w:noWrap/>
            <w:vAlign w:val="center"/>
          </w:tcPr>
          <w:p>
            <w:pPr>
              <w:widowControl/>
              <w:spacing w:line="24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szCs w:val="24"/>
              </w:rPr>
              <w:t>批复规模</w:t>
            </w:r>
          </w:p>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w:t>
            </w:r>
          </w:p>
        </w:tc>
        <w:tc>
          <w:tcPr>
            <w:tcW w:w="849" w:type="dxa"/>
            <w:shd w:val="clear" w:color="auto" w:fill="auto"/>
            <w:noWrap/>
            <w:vAlign w:val="center"/>
          </w:tcPr>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实际规模（㎡）</w:t>
            </w:r>
          </w:p>
        </w:tc>
        <w:tc>
          <w:tcPr>
            <w:tcW w:w="1129" w:type="dxa"/>
            <w:shd w:val="clear" w:color="auto" w:fill="auto"/>
            <w:noWrap/>
            <w:vAlign w:val="center"/>
          </w:tcPr>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规模控制率</w:t>
            </w:r>
          </w:p>
        </w:tc>
        <w:tc>
          <w:tcPr>
            <w:tcW w:w="1111" w:type="dxa"/>
            <w:shd w:val="clear" w:color="auto" w:fill="auto"/>
            <w:noWrap/>
            <w:vAlign w:val="center"/>
          </w:tcPr>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预算投资（万元）</w:t>
            </w:r>
          </w:p>
        </w:tc>
        <w:tc>
          <w:tcPr>
            <w:tcW w:w="969" w:type="dxa"/>
            <w:shd w:val="clear" w:color="auto" w:fill="auto"/>
            <w:noWrap/>
            <w:vAlign w:val="center"/>
          </w:tcPr>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实际投资（万元）</w:t>
            </w:r>
          </w:p>
        </w:tc>
        <w:tc>
          <w:tcPr>
            <w:tcW w:w="863" w:type="dxa"/>
            <w:tcBorders>
              <w:right w:val="single" w:color="auto" w:sz="12" w:space="0"/>
            </w:tcBorders>
            <w:shd w:val="clear" w:color="auto" w:fill="auto"/>
            <w:noWrap/>
            <w:vAlign w:val="center"/>
          </w:tcPr>
          <w:p>
            <w:pPr>
              <w:widowControl/>
              <w:spacing w:line="240" w:lineRule="exact"/>
              <w:jc w:val="center"/>
              <w:rPr>
                <w:rFonts w:ascii="仿宋" w:hAnsi="仿宋" w:eastAsia="仿宋" w:cs="仿宋"/>
                <w:bCs/>
                <w:kern w:val="0"/>
                <w:sz w:val="24"/>
                <w:szCs w:val="24"/>
              </w:rPr>
            </w:pPr>
            <w:r>
              <w:rPr>
                <w:rFonts w:hint="eastAsia" w:ascii="仿宋" w:hAnsi="仿宋" w:eastAsia="仿宋" w:cs="仿宋"/>
                <w:bCs/>
                <w:kern w:val="0"/>
                <w:sz w:val="24"/>
                <w:szCs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left w:val="single" w:color="auto" w:sz="12" w:space="0"/>
            </w:tcBorders>
            <w:shd w:val="clear" w:color="auto" w:fill="auto"/>
            <w:noWrap/>
            <w:vAlign w:val="center"/>
          </w:tcPr>
          <w:p>
            <w:pPr>
              <w:widowControl/>
              <w:jc w:val="left"/>
              <w:rPr>
                <w:rFonts w:ascii="仿宋" w:hAnsi="仿宋" w:eastAsia="仿宋" w:cs="仿宋"/>
                <w:kern w:val="0"/>
                <w:sz w:val="24"/>
                <w:szCs w:val="24"/>
              </w:rPr>
            </w:pPr>
          </w:p>
        </w:tc>
        <w:tc>
          <w:tcPr>
            <w:tcW w:w="1189"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c>
          <w:tcPr>
            <w:tcW w:w="849" w:type="dxa"/>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29" w:type="dxa"/>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11" w:type="dxa"/>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69" w:type="dxa"/>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63" w:type="dxa"/>
            <w:tcBorders>
              <w:right w:val="single" w:color="auto" w:sz="12" w:space="0"/>
            </w:tcBorders>
            <w:shd w:val="clear" w:color="auto" w:fill="auto"/>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left w:val="single" w:color="auto" w:sz="12" w:space="0"/>
              <w:bottom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厉行节约保障措施</w:t>
            </w:r>
          </w:p>
        </w:tc>
        <w:tc>
          <w:tcPr>
            <w:tcW w:w="6110" w:type="dxa"/>
            <w:gridSpan w:val="6"/>
            <w:tcBorders>
              <w:bottom w:val="single" w:color="auto" w:sz="12" w:space="0"/>
              <w:right w:val="single" w:color="auto" w:sz="12" w:space="0"/>
            </w:tcBorders>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w:t>
            </w:r>
          </w:p>
        </w:tc>
      </w:tr>
    </w:tbl>
    <w:p>
      <w:pPr>
        <w:spacing w:line="360" w:lineRule="exact"/>
        <w:rPr>
          <w:rFonts w:ascii="仿宋" w:hAnsi="仿宋" w:eastAsia="仿宋" w:cs="仿宋"/>
          <w:kern w:val="0"/>
          <w:sz w:val="24"/>
          <w:szCs w:val="24"/>
        </w:rPr>
      </w:pPr>
      <w:r>
        <w:rPr>
          <w:rFonts w:hint="eastAsia" w:ascii="仿宋" w:hAnsi="仿宋" w:eastAsia="仿宋" w:cs="仿宋"/>
          <w:kern w:val="0"/>
          <w:sz w:val="21"/>
          <w:szCs w:val="21"/>
        </w:rPr>
        <w:t>说明：“项目支出”需要填报基本支出以外的所有项目支出情况，“公用经费”填报基本支出中的一般商品和服务支出。</w:t>
      </w: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p>
    <w:p>
      <w:pPr>
        <w:spacing w:line="360" w:lineRule="exact"/>
        <w:rPr>
          <w:rFonts w:eastAsia="黑体"/>
          <w:szCs w:val="32"/>
        </w:rPr>
      </w:pPr>
      <w:r>
        <w:rPr>
          <w:rFonts w:eastAsia="黑体"/>
          <w:szCs w:val="32"/>
        </w:rPr>
        <w:t>附件</w:t>
      </w:r>
      <w:r>
        <w:rPr>
          <w:rFonts w:hint="eastAsia" w:eastAsia="黑体"/>
          <w:szCs w:val="32"/>
        </w:rPr>
        <w:t>2</w:t>
      </w:r>
    </w:p>
    <w:p>
      <w:pPr>
        <w:widowControl/>
        <w:jc w:val="center"/>
        <w:rPr>
          <w:rFonts w:eastAsia="方正小标宋_GBK"/>
          <w:color w:val="000000"/>
          <w:kern w:val="0"/>
          <w:sz w:val="36"/>
          <w:szCs w:val="36"/>
        </w:rPr>
      </w:pPr>
      <w:r>
        <w:rPr>
          <w:rFonts w:hint="eastAsia" w:eastAsia="方正小标宋_GBK"/>
          <w:color w:val="000000"/>
          <w:kern w:val="0"/>
          <w:sz w:val="36"/>
          <w:szCs w:val="36"/>
        </w:rPr>
        <w:t>2020年度单位</w:t>
      </w:r>
      <w:r>
        <w:rPr>
          <w:rFonts w:eastAsia="方正小标宋_GBK"/>
          <w:color w:val="000000"/>
          <w:kern w:val="0"/>
          <w:sz w:val="36"/>
          <w:szCs w:val="36"/>
        </w:rPr>
        <w:t>整体支出绩效自评表</w:t>
      </w:r>
    </w:p>
    <w:tbl>
      <w:tblPr>
        <w:tblStyle w:val="3"/>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00"/>
        <w:gridCol w:w="682"/>
        <w:gridCol w:w="345"/>
        <w:gridCol w:w="1985"/>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13" w:type="dxa"/>
            <w:gridSpan w:val="3"/>
            <w:tcBorders>
              <w:top w:val="single" w:color="auto" w:sz="12" w:space="0"/>
              <w:left w:val="single" w:color="auto" w:sz="12" w:space="0"/>
              <w:right w:val="single" w:color="auto" w:sz="4" w:space="0"/>
            </w:tcBorders>
            <w:shd w:val="clear" w:color="auto" w:fill="auto"/>
            <w:noWrap/>
            <w:vAlign w:val="center"/>
          </w:tcPr>
          <w:p>
            <w:pPr>
              <w:widowControl/>
              <w:jc w:val="left"/>
              <w:rPr>
                <w:color w:val="000000"/>
                <w:kern w:val="0"/>
                <w:sz w:val="24"/>
                <w:szCs w:val="24"/>
              </w:rPr>
            </w:pPr>
            <w:r>
              <w:rPr>
                <w:b/>
                <w:bCs/>
                <w:color w:val="000000"/>
                <w:kern w:val="0"/>
                <w:sz w:val="24"/>
                <w:szCs w:val="24"/>
              </w:rPr>
              <w:t>省级预算部门名称</w:t>
            </w:r>
            <w:r>
              <w:rPr>
                <w:color w:val="000000"/>
                <w:kern w:val="0"/>
                <w:sz w:val="24"/>
                <w:szCs w:val="24"/>
              </w:rPr>
              <w:t>　</w:t>
            </w:r>
          </w:p>
        </w:tc>
        <w:tc>
          <w:tcPr>
            <w:tcW w:w="7812" w:type="dxa"/>
            <w:gridSpan w:val="8"/>
            <w:tcBorders>
              <w:top w:val="single" w:color="auto" w:sz="12" w:space="0"/>
              <w:left w:val="single" w:color="auto" w:sz="4" w:space="0"/>
              <w:right w:val="single" w:color="auto" w:sz="12" w:space="0"/>
            </w:tcBorders>
            <w:shd w:val="clear" w:color="auto" w:fill="auto"/>
            <w:noWrap/>
            <w:vAlign w:val="center"/>
          </w:tcPr>
          <w:p>
            <w:pPr>
              <w:widowControl/>
              <w:jc w:val="center"/>
              <w:rPr>
                <w:color w:val="000000"/>
                <w:kern w:val="0"/>
                <w:sz w:val="24"/>
                <w:szCs w:val="24"/>
              </w:rPr>
            </w:pPr>
            <w:r>
              <w:rPr>
                <w:color w:val="000000"/>
                <w:kern w:val="0"/>
                <w:sz w:val="24"/>
                <w:szCs w:val="24"/>
              </w:rPr>
              <w:t>湖南省林木种子储备调剂中心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1" w:type="dxa"/>
            <w:vMerge w:val="restart"/>
            <w:tcBorders>
              <w:left w:val="single" w:color="auto" w:sz="12" w:space="0"/>
              <w:right w:val="single" w:color="auto" w:sz="4" w:space="0"/>
            </w:tcBorders>
            <w:shd w:val="clear" w:color="auto" w:fill="auto"/>
            <w:noWrap/>
            <w:vAlign w:val="center"/>
          </w:tcPr>
          <w:p>
            <w:pPr>
              <w:widowControl/>
              <w:jc w:val="center"/>
              <w:rPr>
                <w:b/>
                <w:bCs/>
                <w:color w:val="000000"/>
                <w:kern w:val="0"/>
                <w:sz w:val="24"/>
                <w:szCs w:val="24"/>
              </w:rPr>
            </w:pPr>
            <w:r>
              <w:rPr>
                <w:b/>
                <w:bCs/>
                <w:color w:val="000000"/>
                <w:kern w:val="0"/>
                <w:sz w:val="24"/>
                <w:szCs w:val="24"/>
              </w:rPr>
              <w:t>年度预</w:t>
            </w:r>
          </w:p>
          <w:p>
            <w:pPr>
              <w:widowControl/>
              <w:jc w:val="center"/>
              <w:rPr>
                <w:rFonts w:hint="eastAsia" w:eastAsia="仿宋_GB2312"/>
                <w:b/>
                <w:bCs/>
                <w:color w:val="000000"/>
                <w:kern w:val="0"/>
                <w:sz w:val="24"/>
                <w:szCs w:val="24"/>
                <w:lang w:eastAsia="zh-CN"/>
              </w:rPr>
            </w:pPr>
            <w:r>
              <w:rPr>
                <w:b/>
                <w:bCs/>
                <w:color w:val="000000"/>
                <w:kern w:val="0"/>
                <w:sz w:val="24"/>
                <w:szCs w:val="24"/>
              </w:rPr>
              <w:t>算申请</w:t>
            </w:r>
          </w:p>
          <w:p>
            <w:pPr>
              <w:widowControl/>
              <w:jc w:val="center"/>
              <w:rPr>
                <w:b/>
                <w:bCs/>
                <w:color w:val="000000"/>
                <w:kern w:val="0"/>
                <w:sz w:val="24"/>
                <w:szCs w:val="24"/>
              </w:rPr>
            </w:pPr>
            <w:r>
              <w:rPr>
                <w:b/>
                <w:bCs/>
                <w:color w:val="000000"/>
                <w:kern w:val="0"/>
                <w:sz w:val="21"/>
                <w:szCs w:val="21"/>
              </w:rPr>
              <w:t>（万元）</w:t>
            </w:r>
          </w:p>
        </w:tc>
        <w:tc>
          <w:tcPr>
            <w:tcW w:w="1727" w:type="dxa"/>
            <w:gridSpan w:val="3"/>
            <w:tcBorders>
              <w:left w:val="single" w:color="auto" w:sz="4" w:space="0"/>
              <w:right w:val="single" w:color="auto" w:sz="4" w:space="0"/>
            </w:tcBorders>
            <w:shd w:val="clear" w:color="auto" w:fill="auto"/>
            <w:noWrap/>
            <w:vAlign w:val="center"/>
          </w:tcPr>
          <w:p>
            <w:pPr>
              <w:spacing w:line="240" w:lineRule="exact"/>
              <w:jc w:val="center"/>
              <w:rPr>
                <w:b/>
                <w:bCs/>
                <w:sz w:val="24"/>
                <w:szCs w:val="24"/>
              </w:rPr>
            </w:pPr>
          </w:p>
        </w:tc>
        <w:tc>
          <w:tcPr>
            <w:tcW w:w="1985" w:type="dxa"/>
            <w:tcBorders>
              <w:left w:val="single" w:color="auto" w:sz="4" w:space="0"/>
              <w:right w:val="single" w:color="auto" w:sz="4" w:space="0"/>
            </w:tcBorders>
            <w:shd w:val="clear" w:color="auto" w:fill="auto"/>
            <w:noWrap/>
            <w:vAlign w:val="center"/>
          </w:tcPr>
          <w:p>
            <w:pPr>
              <w:spacing w:line="240" w:lineRule="exact"/>
              <w:jc w:val="center"/>
              <w:rPr>
                <w:b/>
                <w:bCs/>
                <w:sz w:val="24"/>
                <w:szCs w:val="24"/>
              </w:rPr>
            </w:pPr>
            <w:r>
              <w:rPr>
                <w:b/>
                <w:bCs/>
                <w:sz w:val="24"/>
                <w:szCs w:val="24"/>
              </w:rPr>
              <w:t>年初</w:t>
            </w:r>
          </w:p>
          <w:p>
            <w:pPr>
              <w:spacing w:line="240" w:lineRule="exact"/>
              <w:jc w:val="center"/>
              <w:rPr>
                <w:b/>
                <w:bCs/>
                <w:sz w:val="24"/>
                <w:szCs w:val="24"/>
              </w:rPr>
            </w:pPr>
            <w:r>
              <w:rPr>
                <w:b/>
                <w:bCs/>
                <w:sz w:val="24"/>
                <w:szCs w:val="24"/>
              </w:rPr>
              <w:t>预算数</w:t>
            </w:r>
          </w:p>
        </w:tc>
        <w:tc>
          <w:tcPr>
            <w:tcW w:w="1295" w:type="dxa"/>
            <w:gridSpan w:val="2"/>
            <w:tcBorders>
              <w:left w:val="single" w:color="auto" w:sz="4" w:space="0"/>
              <w:right w:val="single" w:color="auto" w:sz="4" w:space="0"/>
            </w:tcBorders>
            <w:shd w:val="clear" w:color="auto" w:fill="auto"/>
            <w:noWrap/>
            <w:vAlign w:val="center"/>
          </w:tcPr>
          <w:p>
            <w:pPr>
              <w:spacing w:line="240" w:lineRule="exact"/>
              <w:jc w:val="center"/>
              <w:rPr>
                <w:b/>
                <w:bCs/>
                <w:sz w:val="24"/>
                <w:szCs w:val="24"/>
              </w:rPr>
            </w:pPr>
            <w:r>
              <w:rPr>
                <w:b/>
                <w:bCs/>
                <w:sz w:val="24"/>
                <w:szCs w:val="24"/>
              </w:rPr>
              <w:t>全年预算数</w:t>
            </w:r>
          </w:p>
        </w:tc>
        <w:tc>
          <w:tcPr>
            <w:tcW w:w="1134" w:type="dxa"/>
            <w:tcBorders>
              <w:left w:val="single" w:color="auto" w:sz="4" w:space="0"/>
              <w:right w:val="single" w:color="auto" w:sz="4" w:space="0"/>
            </w:tcBorders>
            <w:shd w:val="clear" w:color="auto" w:fill="auto"/>
            <w:noWrap/>
            <w:vAlign w:val="center"/>
          </w:tcPr>
          <w:p>
            <w:pPr>
              <w:spacing w:line="240" w:lineRule="exact"/>
              <w:jc w:val="center"/>
              <w:rPr>
                <w:b/>
                <w:bCs/>
                <w:sz w:val="24"/>
                <w:szCs w:val="24"/>
              </w:rPr>
            </w:pPr>
            <w:r>
              <w:rPr>
                <w:b/>
                <w:bCs/>
                <w:sz w:val="24"/>
                <w:szCs w:val="24"/>
              </w:rPr>
              <w:t>全年</w:t>
            </w:r>
          </w:p>
          <w:p>
            <w:pPr>
              <w:spacing w:line="240" w:lineRule="exact"/>
              <w:jc w:val="center"/>
              <w:rPr>
                <w:b/>
                <w:bCs/>
                <w:sz w:val="24"/>
                <w:szCs w:val="24"/>
              </w:rPr>
            </w:pPr>
            <w:r>
              <w:rPr>
                <w:b/>
                <w:bCs/>
                <w:sz w:val="24"/>
                <w:szCs w:val="24"/>
              </w:rPr>
              <w:t>执行数</w:t>
            </w:r>
          </w:p>
        </w:tc>
        <w:tc>
          <w:tcPr>
            <w:tcW w:w="709" w:type="dxa"/>
            <w:tcBorders>
              <w:left w:val="single" w:color="auto" w:sz="4" w:space="0"/>
              <w:right w:val="single" w:color="auto" w:sz="4" w:space="0"/>
            </w:tcBorders>
            <w:shd w:val="clear" w:color="auto" w:fill="auto"/>
            <w:noWrap/>
            <w:vAlign w:val="center"/>
          </w:tcPr>
          <w:p>
            <w:pPr>
              <w:spacing w:line="240" w:lineRule="exact"/>
              <w:jc w:val="center"/>
              <w:rPr>
                <w:b/>
                <w:bCs/>
                <w:sz w:val="24"/>
                <w:szCs w:val="24"/>
              </w:rPr>
            </w:pPr>
            <w:r>
              <w:rPr>
                <w:b/>
                <w:bCs/>
                <w:sz w:val="24"/>
                <w:szCs w:val="24"/>
              </w:rPr>
              <w:t>分值</w:t>
            </w:r>
          </w:p>
        </w:tc>
        <w:tc>
          <w:tcPr>
            <w:tcW w:w="898" w:type="dxa"/>
            <w:tcBorders>
              <w:left w:val="single" w:color="auto" w:sz="4" w:space="0"/>
              <w:right w:val="single" w:color="auto" w:sz="4" w:space="0"/>
            </w:tcBorders>
            <w:shd w:val="clear" w:color="auto" w:fill="auto"/>
            <w:noWrap/>
            <w:vAlign w:val="center"/>
          </w:tcPr>
          <w:p>
            <w:pPr>
              <w:spacing w:line="240" w:lineRule="exact"/>
              <w:jc w:val="center"/>
              <w:rPr>
                <w:b/>
                <w:bCs/>
                <w:sz w:val="24"/>
                <w:szCs w:val="24"/>
              </w:rPr>
            </w:pPr>
            <w:r>
              <w:rPr>
                <w:b/>
                <w:bCs/>
                <w:sz w:val="24"/>
                <w:szCs w:val="24"/>
              </w:rPr>
              <w:t>执行率</w:t>
            </w:r>
          </w:p>
        </w:tc>
        <w:tc>
          <w:tcPr>
            <w:tcW w:w="1446" w:type="dxa"/>
            <w:tcBorders>
              <w:left w:val="single" w:color="auto" w:sz="4" w:space="0"/>
              <w:right w:val="single" w:color="auto" w:sz="12" w:space="0"/>
            </w:tcBorders>
            <w:shd w:val="clear" w:color="auto" w:fill="auto"/>
            <w:noWrap/>
            <w:vAlign w:val="center"/>
          </w:tcPr>
          <w:p>
            <w:pPr>
              <w:spacing w:line="240" w:lineRule="exact"/>
              <w:jc w:val="center"/>
              <w:rPr>
                <w:b/>
                <w:bCs/>
                <w:sz w:val="24"/>
                <w:szCs w:val="24"/>
              </w:rPr>
            </w:pPr>
            <w:r>
              <w:rPr>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center"/>
              <w:rPr>
                <w:b/>
                <w:bCs/>
                <w:color w:val="000000"/>
                <w:kern w:val="0"/>
                <w:sz w:val="24"/>
                <w:szCs w:val="24"/>
              </w:rPr>
            </w:pPr>
          </w:p>
        </w:tc>
        <w:tc>
          <w:tcPr>
            <w:tcW w:w="1727" w:type="dxa"/>
            <w:gridSpan w:val="3"/>
            <w:tcBorders>
              <w:left w:val="single" w:color="auto" w:sz="4" w:space="0"/>
              <w:right w:val="single" w:color="auto" w:sz="4" w:space="0"/>
            </w:tcBorders>
            <w:shd w:val="clear" w:color="auto" w:fill="auto"/>
            <w:noWrap/>
            <w:vAlign w:val="center"/>
          </w:tcPr>
          <w:p>
            <w:pPr>
              <w:jc w:val="center"/>
              <w:rPr>
                <w:sz w:val="24"/>
                <w:szCs w:val="24"/>
              </w:rPr>
            </w:pPr>
            <w:r>
              <w:rPr>
                <w:color w:val="000000"/>
                <w:kern w:val="0"/>
                <w:sz w:val="24"/>
                <w:szCs w:val="24"/>
              </w:rPr>
              <w:t>年度资金总额</w:t>
            </w:r>
          </w:p>
        </w:tc>
        <w:tc>
          <w:tcPr>
            <w:tcW w:w="1985" w:type="dxa"/>
            <w:tcBorders>
              <w:left w:val="single" w:color="auto" w:sz="4" w:space="0"/>
              <w:right w:val="single" w:color="auto" w:sz="4" w:space="0"/>
            </w:tcBorders>
            <w:shd w:val="clear" w:color="auto" w:fill="auto"/>
            <w:noWrap/>
            <w:vAlign w:val="center"/>
          </w:tcPr>
          <w:p>
            <w:pPr>
              <w:jc w:val="center"/>
              <w:rPr>
                <w:sz w:val="24"/>
                <w:szCs w:val="24"/>
              </w:rPr>
            </w:pPr>
            <w:r>
              <w:rPr>
                <w:rFonts w:hint="eastAsia"/>
                <w:sz w:val="24"/>
                <w:szCs w:val="24"/>
              </w:rPr>
              <w:t>359.29万元</w:t>
            </w:r>
          </w:p>
        </w:tc>
        <w:tc>
          <w:tcPr>
            <w:tcW w:w="1295" w:type="dxa"/>
            <w:gridSpan w:val="2"/>
            <w:tcBorders>
              <w:left w:val="single" w:color="auto" w:sz="4" w:space="0"/>
              <w:right w:val="single" w:color="auto" w:sz="4" w:space="0"/>
            </w:tcBorders>
            <w:shd w:val="clear" w:color="auto" w:fill="auto"/>
            <w:noWrap/>
            <w:vAlign w:val="center"/>
          </w:tcPr>
          <w:p>
            <w:pPr>
              <w:jc w:val="center"/>
              <w:rPr>
                <w:sz w:val="24"/>
                <w:szCs w:val="24"/>
              </w:rPr>
            </w:pPr>
            <w:r>
              <w:rPr>
                <w:rFonts w:hint="eastAsia"/>
                <w:sz w:val="24"/>
                <w:szCs w:val="24"/>
              </w:rPr>
              <w:t>406.89万元</w:t>
            </w:r>
          </w:p>
        </w:tc>
        <w:tc>
          <w:tcPr>
            <w:tcW w:w="1134" w:type="dxa"/>
            <w:tcBorders>
              <w:left w:val="single" w:color="auto" w:sz="4" w:space="0"/>
              <w:right w:val="single" w:color="auto" w:sz="4" w:space="0"/>
            </w:tcBorders>
            <w:shd w:val="clear" w:color="auto" w:fill="auto"/>
            <w:noWrap/>
            <w:vAlign w:val="center"/>
          </w:tcPr>
          <w:p>
            <w:pPr>
              <w:jc w:val="center"/>
              <w:rPr>
                <w:sz w:val="24"/>
                <w:szCs w:val="24"/>
              </w:rPr>
            </w:pPr>
            <w:r>
              <w:rPr>
                <w:rFonts w:hint="eastAsia"/>
                <w:sz w:val="24"/>
                <w:szCs w:val="24"/>
              </w:rPr>
              <w:t>432.26万元</w:t>
            </w:r>
          </w:p>
        </w:tc>
        <w:tc>
          <w:tcPr>
            <w:tcW w:w="709" w:type="dxa"/>
            <w:tcBorders>
              <w:left w:val="single" w:color="auto" w:sz="4" w:space="0"/>
              <w:right w:val="single" w:color="auto" w:sz="4" w:space="0"/>
            </w:tcBorders>
            <w:shd w:val="clear" w:color="auto" w:fill="auto"/>
            <w:noWrap/>
            <w:vAlign w:val="center"/>
          </w:tcPr>
          <w:p>
            <w:pPr>
              <w:jc w:val="center"/>
              <w:rPr>
                <w:sz w:val="24"/>
                <w:szCs w:val="24"/>
              </w:rPr>
            </w:pPr>
            <w:r>
              <w:rPr>
                <w:sz w:val="24"/>
                <w:szCs w:val="24"/>
              </w:rPr>
              <w:t>10</w:t>
            </w:r>
          </w:p>
        </w:tc>
        <w:tc>
          <w:tcPr>
            <w:tcW w:w="898" w:type="dxa"/>
            <w:tcBorders>
              <w:left w:val="single" w:color="auto" w:sz="4" w:space="0"/>
              <w:right w:val="single" w:color="auto" w:sz="4" w:space="0"/>
            </w:tcBorders>
            <w:shd w:val="clear" w:color="auto" w:fill="auto"/>
            <w:noWrap/>
            <w:vAlign w:val="center"/>
          </w:tcPr>
          <w:p>
            <w:pPr>
              <w:jc w:val="center"/>
              <w:rPr>
                <w:sz w:val="24"/>
                <w:szCs w:val="24"/>
              </w:rPr>
            </w:pPr>
            <w:r>
              <w:rPr>
                <w:rFonts w:hint="eastAsia"/>
                <w:sz w:val="24"/>
                <w:szCs w:val="24"/>
              </w:rPr>
              <w:t>100%</w:t>
            </w:r>
          </w:p>
        </w:tc>
        <w:tc>
          <w:tcPr>
            <w:tcW w:w="1446" w:type="dxa"/>
            <w:tcBorders>
              <w:left w:val="single" w:color="auto" w:sz="4" w:space="0"/>
              <w:right w:val="single" w:color="auto" w:sz="12" w:space="0"/>
            </w:tcBorders>
            <w:shd w:val="clear" w:color="auto" w:fill="auto"/>
            <w:noWrap/>
            <w:vAlign w:val="center"/>
          </w:tcPr>
          <w:p>
            <w:pPr>
              <w:jc w:val="center"/>
              <w:rPr>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b/>
                <w:bCs/>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按收入性质分：</w:t>
            </w:r>
          </w:p>
        </w:tc>
        <w:tc>
          <w:tcPr>
            <w:tcW w:w="4187" w:type="dxa"/>
            <w:gridSpan w:val="4"/>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b/>
                <w:bCs/>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xml:space="preserve">  其中：  一般公共预算：</w:t>
            </w:r>
            <w:r>
              <w:rPr>
                <w:rFonts w:hint="eastAsia"/>
                <w:color w:val="000000"/>
                <w:kern w:val="0"/>
                <w:sz w:val="24"/>
                <w:szCs w:val="24"/>
              </w:rPr>
              <w:t>374.39</w:t>
            </w:r>
          </w:p>
        </w:tc>
        <w:tc>
          <w:tcPr>
            <w:tcW w:w="4187" w:type="dxa"/>
            <w:gridSpan w:val="4"/>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其中：基本支出：</w:t>
            </w:r>
            <w:r>
              <w:rPr>
                <w:rFonts w:hint="eastAsia"/>
                <w:color w:val="000000"/>
                <w:kern w:val="0"/>
                <w:sz w:val="24"/>
                <w:szCs w:val="24"/>
              </w:rPr>
              <w:t>417.26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b/>
                <w:bCs/>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ind w:firstLine="960" w:firstLineChars="400"/>
              <w:jc w:val="left"/>
              <w:rPr>
                <w:color w:val="000000"/>
                <w:kern w:val="0"/>
                <w:sz w:val="24"/>
                <w:szCs w:val="24"/>
              </w:rPr>
            </w:pPr>
            <w:r>
              <w:rPr>
                <w:color w:val="000000"/>
                <w:kern w:val="0"/>
                <w:sz w:val="24"/>
                <w:szCs w:val="24"/>
              </w:rPr>
              <w:t>政府性基金拨款：</w:t>
            </w:r>
          </w:p>
        </w:tc>
        <w:tc>
          <w:tcPr>
            <w:tcW w:w="4187" w:type="dxa"/>
            <w:gridSpan w:val="4"/>
            <w:tcBorders>
              <w:left w:val="single" w:color="auto" w:sz="4" w:space="0"/>
              <w:right w:val="single" w:color="auto" w:sz="12" w:space="0"/>
            </w:tcBorders>
            <w:shd w:val="clear" w:color="auto" w:fill="auto"/>
            <w:noWrap/>
            <w:vAlign w:val="center"/>
          </w:tcPr>
          <w:p>
            <w:pPr>
              <w:widowControl/>
              <w:ind w:firstLine="720" w:firstLineChars="300"/>
              <w:jc w:val="left"/>
              <w:rPr>
                <w:color w:val="000000"/>
                <w:kern w:val="0"/>
                <w:sz w:val="24"/>
                <w:szCs w:val="24"/>
              </w:rPr>
            </w:pPr>
            <w:r>
              <w:rPr>
                <w:color w:val="000000"/>
                <w:kern w:val="0"/>
                <w:sz w:val="24"/>
                <w:szCs w:val="24"/>
              </w:rPr>
              <w:t>项目支出：</w:t>
            </w:r>
            <w:r>
              <w:rPr>
                <w:rFonts w:hint="eastAsia"/>
                <w:color w:val="00000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b/>
                <w:bCs/>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纳入专户管理的非税收入拨款：</w:t>
            </w:r>
          </w:p>
        </w:tc>
        <w:tc>
          <w:tcPr>
            <w:tcW w:w="4187" w:type="dxa"/>
            <w:gridSpan w:val="4"/>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b/>
                <w:bCs/>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ind w:firstLine="1680" w:firstLineChars="700"/>
              <w:jc w:val="left"/>
              <w:rPr>
                <w:color w:val="000000"/>
                <w:kern w:val="0"/>
                <w:sz w:val="24"/>
                <w:szCs w:val="24"/>
              </w:rPr>
            </w:pPr>
            <w:r>
              <w:rPr>
                <w:color w:val="000000"/>
                <w:kern w:val="0"/>
                <w:sz w:val="24"/>
                <w:szCs w:val="24"/>
              </w:rPr>
              <w:t>其他资金：</w:t>
            </w:r>
            <w:r>
              <w:rPr>
                <w:rFonts w:hint="eastAsia"/>
                <w:color w:val="000000"/>
                <w:kern w:val="0"/>
                <w:sz w:val="24"/>
                <w:szCs w:val="24"/>
              </w:rPr>
              <w:t>32.50</w:t>
            </w:r>
          </w:p>
        </w:tc>
        <w:tc>
          <w:tcPr>
            <w:tcW w:w="4187" w:type="dxa"/>
            <w:gridSpan w:val="4"/>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shd w:val="clear" w:color="auto" w:fill="auto"/>
            <w:noWrap/>
            <w:vAlign w:val="center"/>
          </w:tcPr>
          <w:p>
            <w:pPr>
              <w:widowControl/>
              <w:jc w:val="center"/>
              <w:rPr>
                <w:b/>
                <w:bCs/>
                <w:color w:val="000000"/>
                <w:kern w:val="0"/>
                <w:sz w:val="24"/>
                <w:szCs w:val="24"/>
              </w:rPr>
            </w:pPr>
            <w:r>
              <w:rPr>
                <w:b/>
                <w:bCs/>
                <w:color w:val="000000"/>
                <w:kern w:val="0"/>
                <w:sz w:val="24"/>
                <w:szCs w:val="24"/>
              </w:rPr>
              <w:t>年度总目标</w:t>
            </w:r>
          </w:p>
        </w:tc>
        <w:tc>
          <w:tcPr>
            <w:tcW w:w="5007" w:type="dxa"/>
            <w:gridSpan w:val="6"/>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预期目标</w:t>
            </w:r>
          </w:p>
        </w:tc>
        <w:tc>
          <w:tcPr>
            <w:tcW w:w="4187" w:type="dxa"/>
            <w:gridSpan w:val="4"/>
            <w:tcBorders>
              <w:left w:val="single" w:color="auto" w:sz="4" w:space="0"/>
              <w:right w:val="single" w:color="auto" w:sz="12" w:space="0"/>
            </w:tcBorders>
            <w:shd w:val="clear" w:color="auto" w:fill="auto"/>
            <w:noWrap/>
            <w:vAlign w:val="center"/>
          </w:tcPr>
          <w:p>
            <w:pPr>
              <w:widowControl/>
              <w:jc w:val="center"/>
              <w:rPr>
                <w:color w:val="000000"/>
                <w:kern w:val="0"/>
                <w:sz w:val="24"/>
                <w:szCs w:val="24"/>
              </w:rPr>
            </w:pPr>
            <w:r>
              <w:rPr>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color w:val="000000"/>
                <w:kern w:val="0"/>
                <w:sz w:val="24"/>
                <w:szCs w:val="24"/>
              </w:rPr>
            </w:pPr>
          </w:p>
        </w:tc>
        <w:tc>
          <w:tcPr>
            <w:tcW w:w="5007" w:type="dxa"/>
            <w:gridSpan w:val="6"/>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2020年</w:t>
            </w:r>
            <w:r>
              <w:rPr>
                <w:rFonts w:ascii="仿宋" w:hAnsi="仿宋" w:eastAsia="仿宋" w:cs="仿宋"/>
                <w:color w:val="000000"/>
                <w:kern w:val="0"/>
                <w:sz w:val="24"/>
                <w:szCs w:val="24"/>
              </w:rPr>
              <w:t>调剂入库种子质量17个种批，136个批次样品，共入库种子2851.2公斤，出库种子2250公斤，对506公斤不合格种子及时进行了处理，确保调剂发放的种子质量合格率达100%。严把种苗质量关，确保造林用种安全。严格执行质量检验程序，从源头上杜绝了假冒伪劣种子进入市场，对不合格种子及时进行了处理，保障了全省造林的质量和水平。</w:t>
            </w:r>
          </w:p>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4187" w:type="dxa"/>
            <w:gridSpan w:val="4"/>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2020年</w:t>
            </w:r>
            <w:r>
              <w:rPr>
                <w:rFonts w:ascii="仿宋" w:hAnsi="仿宋" w:eastAsia="仿宋" w:cs="仿宋"/>
                <w:color w:val="000000"/>
                <w:kern w:val="0"/>
                <w:sz w:val="24"/>
                <w:szCs w:val="24"/>
              </w:rPr>
              <w:t>调剂入库种子质量17个种批，136个批次样品，共入库种子2851.2公斤，出库种子2250公斤，对506公斤不合格种子及时进行了处理，确保调剂发放的种子质量合格率达100%。严把种苗质量关，确保造林用种安全。严格执行质量检验程序，从源头上杜绝了假冒伪劣种子进入市场，对不合格种子及时进行了处理，保障了全省造林的质量和水平。</w:t>
            </w:r>
          </w:p>
          <w:p>
            <w:pPr>
              <w:widowControl/>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shd w:val="clear" w:color="auto" w:fill="auto"/>
            <w:noWrap/>
            <w:vAlign w:val="center"/>
          </w:tcPr>
          <w:p>
            <w:pPr>
              <w:widowControl/>
              <w:jc w:val="center"/>
              <w:rPr>
                <w:b/>
                <w:bCs/>
                <w:color w:val="000000"/>
                <w:kern w:val="0"/>
                <w:sz w:val="24"/>
                <w:szCs w:val="24"/>
              </w:rPr>
            </w:pPr>
            <w:r>
              <w:rPr>
                <w:b/>
                <w:bCs/>
                <w:color w:val="000000"/>
                <w:kern w:val="0"/>
                <w:sz w:val="24"/>
                <w:szCs w:val="24"/>
              </w:rPr>
              <w:t>绩</w:t>
            </w:r>
          </w:p>
          <w:p>
            <w:pPr>
              <w:widowControl/>
              <w:jc w:val="center"/>
              <w:rPr>
                <w:b/>
                <w:bCs/>
                <w:color w:val="000000"/>
                <w:kern w:val="0"/>
                <w:sz w:val="24"/>
                <w:szCs w:val="24"/>
              </w:rPr>
            </w:pPr>
            <w:r>
              <w:rPr>
                <w:b/>
                <w:bCs/>
                <w:color w:val="000000"/>
                <w:kern w:val="0"/>
                <w:sz w:val="24"/>
                <w:szCs w:val="24"/>
              </w:rPr>
              <w:t>效</w:t>
            </w:r>
          </w:p>
          <w:p>
            <w:pPr>
              <w:widowControl/>
              <w:jc w:val="center"/>
              <w:rPr>
                <w:b/>
                <w:bCs/>
                <w:color w:val="000000"/>
                <w:kern w:val="0"/>
                <w:sz w:val="24"/>
                <w:szCs w:val="24"/>
              </w:rPr>
            </w:pPr>
            <w:r>
              <w:rPr>
                <w:b/>
                <w:bCs/>
                <w:color w:val="000000"/>
                <w:kern w:val="0"/>
                <w:sz w:val="24"/>
                <w:szCs w:val="24"/>
              </w:rPr>
              <w:t>指</w:t>
            </w:r>
          </w:p>
          <w:p>
            <w:pPr>
              <w:widowControl/>
              <w:jc w:val="center"/>
              <w:rPr>
                <w:color w:val="000000"/>
                <w:kern w:val="0"/>
                <w:sz w:val="24"/>
                <w:szCs w:val="24"/>
              </w:rPr>
            </w:pPr>
            <w:r>
              <w:rPr>
                <w:b/>
                <w:bCs/>
                <w:color w:val="000000"/>
                <w:kern w:val="0"/>
                <w:sz w:val="24"/>
                <w:szCs w:val="24"/>
              </w:rPr>
              <w:t>标</w:t>
            </w:r>
          </w:p>
        </w:tc>
        <w:tc>
          <w:tcPr>
            <w:tcW w:w="700" w:type="dxa"/>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一级指标</w:t>
            </w:r>
          </w:p>
        </w:tc>
        <w:tc>
          <w:tcPr>
            <w:tcW w:w="1027" w:type="dxa"/>
            <w:gridSpan w:val="2"/>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二级指标</w:t>
            </w:r>
          </w:p>
        </w:tc>
        <w:tc>
          <w:tcPr>
            <w:tcW w:w="2080" w:type="dxa"/>
            <w:gridSpan w:val="2"/>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三级指标</w:t>
            </w:r>
          </w:p>
        </w:tc>
        <w:tc>
          <w:tcPr>
            <w:tcW w:w="1200" w:type="dxa"/>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年度</w:t>
            </w:r>
          </w:p>
          <w:p>
            <w:pPr>
              <w:widowControl/>
              <w:spacing w:line="240" w:lineRule="exact"/>
              <w:jc w:val="center"/>
              <w:rPr>
                <w:color w:val="000000"/>
                <w:kern w:val="0"/>
                <w:sz w:val="24"/>
                <w:szCs w:val="24"/>
              </w:rPr>
            </w:pPr>
            <w:r>
              <w:rPr>
                <w:color w:val="000000"/>
                <w:kern w:val="0"/>
                <w:sz w:val="24"/>
                <w:szCs w:val="24"/>
              </w:rPr>
              <w:t>指标值</w:t>
            </w:r>
          </w:p>
        </w:tc>
        <w:tc>
          <w:tcPr>
            <w:tcW w:w="1134" w:type="dxa"/>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实际</w:t>
            </w:r>
          </w:p>
          <w:p>
            <w:pPr>
              <w:widowControl/>
              <w:spacing w:line="240" w:lineRule="exact"/>
              <w:jc w:val="center"/>
              <w:rPr>
                <w:color w:val="000000"/>
                <w:kern w:val="0"/>
                <w:sz w:val="24"/>
                <w:szCs w:val="24"/>
              </w:rPr>
            </w:pPr>
            <w:r>
              <w:rPr>
                <w:color w:val="000000"/>
                <w:kern w:val="0"/>
                <w:sz w:val="24"/>
                <w:szCs w:val="24"/>
              </w:rPr>
              <w:t>完成值</w:t>
            </w:r>
          </w:p>
        </w:tc>
        <w:tc>
          <w:tcPr>
            <w:tcW w:w="709" w:type="dxa"/>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分值</w:t>
            </w:r>
          </w:p>
        </w:tc>
        <w:tc>
          <w:tcPr>
            <w:tcW w:w="898" w:type="dxa"/>
            <w:tcBorders>
              <w:left w:val="single" w:color="auto" w:sz="4" w:space="0"/>
              <w:right w:val="single" w:color="auto" w:sz="4" w:space="0"/>
            </w:tcBorders>
            <w:shd w:val="clear" w:color="auto" w:fill="auto"/>
            <w:noWrap/>
            <w:vAlign w:val="center"/>
          </w:tcPr>
          <w:p>
            <w:pPr>
              <w:widowControl/>
              <w:spacing w:line="240" w:lineRule="exact"/>
              <w:jc w:val="center"/>
              <w:rPr>
                <w:color w:val="000000"/>
                <w:kern w:val="0"/>
                <w:sz w:val="24"/>
                <w:szCs w:val="24"/>
              </w:rPr>
            </w:pPr>
            <w:r>
              <w:rPr>
                <w:color w:val="000000"/>
                <w:kern w:val="0"/>
                <w:sz w:val="24"/>
                <w:szCs w:val="24"/>
              </w:rPr>
              <w:t>得分</w:t>
            </w:r>
          </w:p>
        </w:tc>
        <w:tc>
          <w:tcPr>
            <w:tcW w:w="1446" w:type="dxa"/>
            <w:tcBorders>
              <w:left w:val="single" w:color="auto" w:sz="4" w:space="0"/>
              <w:right w:val="single" w:color="auto" w:sz="12" w:space="0"/>
            </w:tcBorders>
            <w:shd w:val="clear" w:color="auto" w:fill="auto"/>
            <w:noWrap/>
          </w:tcPr>
          <w:p>
            <w:pPr>
              <w:widowControl/>
              <w:spacing w:line="240" w:lineRule="exact"/>
              <w:jc w:val="center"/>
              <w:rPr>
                <w:color w:val="000000"/>
                <w:kern w:val="0"/>
                <w:sz w:val="24"/>
                <w:szCs w:val="24"/>
              </w:rPr>
            </w:pPr>
            <w:r>
              <w:rPr>
                <w:color w:val="000000"/>
                <w:kern w:val="0"/>
                <w:sz w:val="24"/>
                <w:szCs w:val="24"/>
              </w:rPr>
              <w:t>偏差原因及</w:t>
            </w:r>
          </w:p>
          <w:p>
            <w:pPr>
              <w:widowControl/>
              <w:spacing w:line="240" w:lineRule="exact"/>
              <w:jc w:val="center"/>
              <w:rPr>
                <w:color w:val="000000"/>
                <w:kern w:val="0"/>
                <w:sz w:val="24"/>
                <w:szCs w:val="24"/>
              </w:rPr>
            </w:pPr>
            <w:r>
              <w:rPr>
                <w:color w:val="000000"/>
                <w:kern w:val="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产出指标</w:t>
            </w:r>
          </w:p>
          <w:p>
            <w:pPr>
              <w:widowControl/>
              <w:jc w:val="center"/>
              <w:rPr>
                <w:color w:val="000000"/>
                <w:kern w:val="0"/>
                <w:sz w:val="24"/>
                <w:szCs w:val="24"/>
              </w:rPr>
            </w:pPr>
            <w:r>
              <w:rPr>
                <w:color w:val="000000"/>
                <w:kern w:val="0"/>
                <w:sz w:val="24"/>
                <w:szCs w:val="24"/>
              </w:rPr>
              <w:t>(50分)</w:t>
            </w:r>
          </w:p>
        </w:tc>
        <w:tc>
          <w:tcPr>
            <w:tcW w:w="1027" w:type="dxa"/>
            <w:gridSpan w:val="2"/>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数量</w:t>
            </w:r>
          </w:p>
          <w:p>
            <w:pPr>
              <w:widowControl/>
              <w:jc w:val="center"/>
              <w:rPr>
                <w:color w:val="000000"/>
                <w:kern w:val="0"/>
                <w:sz w:val="24"/>
                <w:szCs w:val="24"/>
              </w:rPr>
            </w:pPr>
            <w:r>
              <w:rPr>
                <w:color w:val="000000"/>
                <w:kern w:val="0"/>
                <w:sz w:val="24"/>
                <w:szCs w:val="24"/>
              </w:rPr>
              <w:t>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种子发放数量</w:t>
            </w:r>
          </w:p>
        </w:tc>
        <w:tc>
          <w:tcPr>
            <w:tcW w:w="1200"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2800公斤</w:t>
            </w:r>
          </w:p>
        </w:tc>
        <w:tc>
          <w:tcPr>
            <w:tcW w:w="1134"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2851.2公斤</w:t>
            </w:r>
          </w:p>
        </w:tc>
        <w:tc>
          <w:tcPr>
            <w:tcW w:w="709"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10</w:t>
            </w:r>
          </w:p>
        </w:tc>
        <w:tc>
          <w:tcPr>
            <w:tcW w:w="898"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p>
        </w:tc>
        <w:tc>
          <w:tcPr>
            <w:tcW w:w="1446" w:type="dxa"/>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质量</w:t>
            </w:r>
          </w:p>
          <w:p>
            <w:pPr>
              <w:widowControl/>
              <w:jc w:val="center"/>
              <w:rPr>
                <w:color w:val="000000"/>
                <w:kern w:val="0"/>
                <w:sz w:val="24"/>
                <w:szCs w:val="24"/>
              </w:rPr>
            </w:pPr>
            <w:r>
              <w:rPr>
                <w:color w:val="000000"/>
                <w:kern w:val="0"/>
                <w:sz w:val="24"/>
                <w:szCs w:val="24"/>
              </w:rPr>
              <w:t>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时效</w:t>
            </w:r>
          </w:p>
          <w:p>
            <w:pPr>
              <w:widowControl/>
              <w:jc w:val="center"/>
              <w:rPr>
                <w:color w:val="000000"/>
                <w:kern w:val="0"/>
                <w:sz w:val="24"/>
                <w:szCs w:val="24"/>
              </w:rPr>
            </w:pPr>
            <w:r>
              <w:rPr>
                <w:color w:val="000000"/>
                <w:kern w:val="0"/>
                <w:sz w:val="24"/>
                <w:szCs w:val="24"/>
              </w:rPr>
              <w:t>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预算执行率</w:t>
            </w:r>
          </w:p>
        </w:tc>
        <w:tc>
          <w:tcPr>
            <w:tcW w:w="1200"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100%</w:t>
            </w:r>
          </w:p>
        </w:tc>
        <w:tc>
          <w:tcPr>
            <w:tcW w:w="1134"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709"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成本</w:t>
            </w:r>
          </w:p>
          <w:p>
            <w:pPr>
              <w:widowControl/>
              <w:jc w:val="center"/>
              <w:rPr>
                <w:color w:val="000000"/>
                <w:kern w:val="0"/>
                <w:sz w:val="24"/>
                <w:szCs w:val="24"/>
              </w:rPr>
            </w:pPr>
            <w:r>
              <w:rPr>
                <w:color w:val="000000"/>
                <w:kern w:val="0"/>
                <w:sz w:val="24"/>
                <w:szCs w:val="24"/>
              </w:rPr>
              <w:t>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年度预算数</w:t>
            </w:r>
          </w:p>
        </w:tc>
        <w:tc>
          <w:tcPr>
            <w:tcW w:w="1200"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433.33</w:t>
            </w:r>
            <w:r>
              <w:rPr>
                <w:rFonts w:ascii="仿宋" w:hAnsi="仿宋" w:eastAsia="仿宋" w:cs="仿宋"/>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432.26</w:t>
            </w:r>
          </w:p>
        </w:tc>
        <w:tc>
          <w:tcPr>
            <w:tcW w:w="709"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ascii="仿宋" w:hAnsi="仿宋" w:eastAsia="仿宋" w:cs="仿宋"/>
                <w:color w:val="000000"/>
                <w:kern w:val="0"/>
                <w:sz w:val="24"/>
                <w:szCs w:val="24"/>
              </w:rPr>
              <w:t>　加快资金使用进度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效益指标</w:t>
            </w:r>
            <w:r>
              <w:rPr>
                <w:color w:val="000000"/>
                <w:kern w:val="0"/>
                <w:sz w:val="18"/>
                <w:szCs w:val="18"/>
              </w:rPr>
              <w:t>（30分）</w:t>
            </w:r>
            <w:r>
              <w:rPr>
                <w:color w:val="000000"/>
                <w:kern w:val="0"/>
                <w:sz w:val="24"/>
                <w:szCs w:val="24"/>
              </w:rPr>
              <w:t>　</w:t>
            </w: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经济效</w:t>
            </w:r>
          </w:p>
          <w:p>
            <w:pPr>
              <w:widowControl/>
              <w:jc w:val="center"/>
              <w:rPr>
                <w:color w:val="000000"/>
                <w:kern w:val="0"/>
                <w:sz w:val="24"/>
                <w:szCs w:val="24"/>
              </w:rPr>
            </w:pPr>
            <w:r>
              <w:rPr>
                <w:color w:val="000000"/>
                <w:kern w:val="0"/>
                <w:sz w:val="24"/>
                <w:szCs w:val="24"/>
              </w:rPr>
              <w:t>益指标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w:t>
            </w: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社会效</w:t>
            </w:r>
          </w:p>
          <w:p>
            <w:pPr>
              <w:widowControl/>
              <w:jc w:val="center"/>
              <w:rPr>
                <w:color w:val="000000"/>
                <w:kern w:val="0"/>
                <w:sz w:val="24"/>
                <w:szCs w:val="24"/>
              </w:rPr>
            </w:pPr>
            <w:r>
              <w:rPr>
                <w:color w:val="000000"/>
                <w:kern w:val="0"/>
                <w:sz w:val="24"/>
                <w:szCs w:val="24"/>
              </w:rPr>
              <w:t>益指标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w:t>
            </w: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生态效</w:t>
            </w:r>
          </w:p>
          <w:p>
            <w:pPr>
              <w:widowControl/>
              <w:jc w:val="center"/>
              <w:rPr>
                <w:color w:val="000000"/>
                <w:kern w:val="0"/>
                <w:sz w:val="24"/>
                <w:szCs w:val="24"/>
              </w:rPr>
            </w:pPr>
            <w:r>
              <w:rPr>
                <w:color w:val="000000"/>
                <w:kern w:val="0"/>
                <w:sz w:val="24"/>
                <w:szCs w:val="24"/>
              </w:rPr>
              <w:t>益指标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31" w:type="dxa"/>
            <w:vMerge w:val="continue"/>
            <w:tcBorders>
              <w:left w:val="single" w:color="auto" w:sz="12" w:space="0"/>
              <w:right w:val="single" w:color="auto" w:sz="4" w:space="0"/>
            </w:tcBorders>
            <w:shd w:val="clear" w:color="auto" w:fill="auto"/>
            <w:noWrap/>
            <w:vAlign w:val="center"/>
          </w:tcPr>
          <w:p>
            <w:pPr>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w:t>
            </w: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center"/>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1"/>
                <w:szCs w:val="21"/>
              </w:rPr>
              <w:t>可持续影响指标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1" w:type="dxa"/>
            <w:vMerge w:val="continue"/>
            <w:tcBorders>
              <w:left w:val="single" w:color="auto" w:sz="12" w:space="0"/>
              <w:right w:val="single" w:color="auto" w:sz="4" w:space="0"/>
            </w:tcBorders>
            <w:shd w:val="clear" w:color="auto" w:fill="auto"/>
            <w:noWrap/>
            <w:vAlign w:val="center"/>
          </w:tcPr>
          <w:p>
            <w:pPr>
              <w:jc w:val="left"/>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w:t>
            </w: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noWrap/>
            <w:vAlign w:val="center"/>
          </w:tcPr>
          <w:p>
            <w:pPr>
              <w:jc w:val="left"/>
              <w:rPr>
                <w:color w:val="000000"/>
                <w:kern w:val="0"/>
                <w:sz w:val="24"/>
                <w:szCs w:val="24"/>
              </w:rPr>
            </w:pPr>
          </w:p>
        </w:tc>
        <w:tc>
          <w:tcPr>
            <w:tcW w:w="700" w:type="dxa"/>
            <w:vMerge w:val="restart"/>
            <w:tcBorders>
              <w:left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满意度</w:t>
            </w:r>
          </w:p>
          <w:p>
            <w:pPr>
              <w:widowControl/>
              <w:jc w:val="center"/>
              <w:rPr>
                <w:color w:val="000000"/>
                <w:kern w:val="0"/>
                <w:sz w:val="21"/>
                <w:szCs w:val="21"/>
              </w:rPr>
            </w:pPr>
            <w:r>
              <w:rPr>
                <w:color w:val="000000"/>
                <w:kern w:val="0"/>
                <w:sz w:val="21"/>
                <w:szCs w:val="21"/>
              </w:rPr>
              <w:t>指标</w:t>
            </w:r>
          </w:p>
          <w:p>
            <w:pPr>
              <w:widowControl/>
              <w:jc w:val="center"/>
              <w:rPr>
                <w:color w:val="000000"/>
                <w:kern w:val="0"/>
                <w:sz w:val="24"/>
                <w:szCs w:val="24"/>
              </w:rPr>
            </w:pPr>
            <w:r>
              <w:rPr>
                <w:color w:val="000000"/>
                <w:kern w:val="0"/>
                <w:sz w:val="21"/>
                <w:szCs w:val="21"/>
              </w:rPr>
              <w:t>（10分）</w:t>
            </w:r>
          </w:p>
        </w:tc>
        <w:tc>
          <w:tcPr>
            <w:tcW w:w="1027" w:type="dxa"/>
            <w:gridSpan w:val="2"/>
            <w:vMerge w:val="restart"/>
            <w:tcBorders>
              <w:left w:val="single" w:color="auto" w:sz="4"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服务对象满意度指标</w:t>
            </w: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31" w:type="dxa"/>
            <w:vMerge w:val="continue"/>
            <w:tcBorders>
              <w:left w:val="single" w:color="auto" w:sz="12" w:space="0"/>
              <w:right w:val="single" w:color="auto" w:sz="4" w:space="0"/>
            </w:tcBorders>
            <w:shd w:val="clear" w:color="auto" w:fill="auto"/>
            <w:noWrap/>
            <w:vAlign w:val="center"/>
          </w:tcPr>
          <w:p>
            <w:pPr>
              <w:widowControl/>
              <w:jc w:val="left"/>
              <w:rPr>
                <w:color w:val="000000"/>
                <w:kern w:val="0"/>
                <w:sz w:val="24"/>
                <w:szCs w:val="24"/>
              </w:rPr>
            </w:pPr>
          </w:p>
        </w:tc>
        <w:tc>
          <w:tcPr>
            <w:tcW w:w="700" w:type="dxa"/>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p>
        </w:tc>
        <w:tc>
          <w:tcPr>
            <w:tcW w:w="2080" w:type="dxa"/>
            <w:gridSpan w:val="2"/>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w:t>
            </w:r>
          </w:p>
        </w:tc>
        <w:tc>
          <w:tcPr>
            <w:tcW w:w="1200"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134"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709"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898" w:type="dxa"/>
            <w:tcBorders>
              <w:left w:val="single" w:color="auto" w:sz="4"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2" w:type="dxa"/>
            <w:gridSpan w:val="8"/>
            <w:tcBorders>
              <w:left w:val="single" w:color="auto" w:sz="12" w:space="0"/>
              <w:bottom w:val="single" w:color="auto" w:sz="12"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总分</w:t>
            </w:r>
          </w:p>
        </w:tc>
        <w:tc>
          <w:tcPr>
            <w:tcW w:w="709" w:type="dxa"/>
            <w:tcBorders>
              <w:left w:val="single" w:color="auto" w:sz="4" w:space="0"/>
              <w:bottom w:val="single" w:color="auto" w:sz="12" w:space="0"/>
              <w:right w:val="single" w:color="auto" w:sz="4" w:space="0"/>
            </w:tcBorders>
            <w:shd w:val="clear" w:color="auto" w:fill="auto"/>
            <w:noWrap/>
            <w:vAlign w:val="center"/>
          </w:tcPr>
          <w:p>
            <w:pPr>
              <w:widowControl/>
              <w:jc w:val="center"/>
              <w:rPr>
                <w:color w:val="000000"/>
                <w:kern w:val="0"/>
                <w:sz w:val="24"/>
                <w:szCs w:val="24"/>
              </w:rPr>
            </w:pPr>
            <w:r>
              <w:rPr>
                <w:color w:val="000000"/>
                <w:kern w:val="0"/>
                <w:sz w:val="24"/>
                <w:szCs w:val="24"/>
              </w:rPr>
              <w:t>100</w:t>
            </w:r>
          </w:p>
        </w:tc>
        <w:tc>
          <w:tcPr>
            <w:tcW w:w="898" w:type="dxa"/>
            <w:tcBorders>
              <w:left w:val="single" w:color="auto" w:sz="4" w:space="0"/>
              <w:bottom w:val="single" w:color="auto" w:sz="12" w:space="0"/>
              <w:right w:val="single" w:color="auto" w:sz="4" w:space="0"/>
            </w:tcBorders>
            <w:shd w:val="clear" w:color="auto" w:fill="auto"/>
            <w:noWrap/>
            <w:vAlign w:val="center"/>
          </w:tcPr>
          <w:p>
            <w:pPr>
              <w:widowControl/>
              <w:jc w:val="left"/>
              <w:rPr>
                <w:color w:val="000000"/>
                <w:kern w:val="0"/>
                <w:sz w:val="24"/>
                <w:szCs w:val="24"/>
              </w:rPr>
            </w:pPr>
            <w:r>
              <w:rPr>
                <w:color w:val="000000"/>
                <w:kern w:val="0"/>
                <w:sz w:val="24"/>
                <w:szCs w:val="24"/>
              </w:rPr>
              <w:t>　</w:t>
            </w:r>
          </w:p>
        </w:tc>
        <w:tc>
          <w:tcPr>
            <w:tcW w:w="1446" w:type="dxa"/>
            <w:tcBorders>
              <w:left w:val="single" w:color="auto" w:sz="4" w:space="0"/>
              <w:bottom w:val="single" w:color="auto" w:sz="12" w:space="0"/>
              <w:right w:val="single" w:color="auto" w:sz="12" w:space="0"/>
            </w:tcBorders>
            <w:shd w:val="clear" w:color="auto" w:fill="auto"/>
            <w:noWrap/>
            <w:vAlign w:val="center"/>
          </w:tcPr>
          <w:p>
            <w:pPr>
              <w:widowControl/>
              <w:jc w:val="left"/>
              <w:rPr>
                <w:color w:val="000000"/>
                <w:kern w:val="0"/>
                <w:sz w:val="24"/>
                <w:szCs w:val="24"/>
              </w:rPr>
            </w:pPr>
            <w:r>
              <w:rPr>
                <w:color w:val="000000"/>
                <w:kern w:val="0"/>
                <w:sz w:val="24"/>
                <w:szCs w:val="24"/>
              </w:rPr>
              <w:t>　</w:t>
            </w:r>
          </w:p>
        </w:tc>
      </w:tr>
    </w:tbl>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p>
    <w:p>
      <w:pPr>
        <w:widowControl/>
        <w:jc w:val="left"/>
        <w:rPr>
          <w:rFonts w:eastAsia="黑体"/>
          <w:szCs w:val="32"/>
        </w:rPr>
      </w:pPr>
      <w:r>
        <w:rPr>
          <w:rFonts w:eastAsia="黑体"/>
          <w:szCs w:val="32"/>
        </w:rPr>
        <w:t>附件</w:t>
      </w:r>
      <w:r>
        <w:rPr>
          <w:rFonts w:hint="eastAsia" w:eastAsia="黑体"/>
          <w:szCs w:val="32"/>
        </w:rPr>
        <w:t>3</w:t>
      </w:r>
    </w:p>
    <w:p>
      <w:pPr>
        <w:widowControl/>
        <w:jc w:val="center"/>
        <w:rPr>
          <w:color w:val="000000"/>
          <w:kern w:val="0"/>
          <w:szCs w:val="21"/>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p>
    <w:tbl>
      <w:tblPr>
        <w:tblStyle w:val="3"/>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961"/>
        <w:gridCol w:w="1337"/>
        <w:gridCol w:w="1104"/>
        <w:gridCol w:w="997"/>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noWrap/>
            <w:vAlign w:val="center"/>
          </w:tcPr>
          <w:p>
            <w:pPr>
              <w:widowControl/>
              <w:spacing w:line="260" w:lineRule="exact"/>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项目支</w:t>
            </w:r>
          </w:p>
          <w:p>
            <w:pPr>
              <w:widowControl/>
              <w:spacing w:line="260" w:lineRule="exact"/>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出名称</w:t>
            </w:r>
          </w:p>
        </w:tc>
        <w:tc>
          <w:tcPr>
            <w:tcW w:w="8652" w:type="dxa"/>
            <w:gridSpan w:val="8"/>
            <w:tcBorders>
              <w:top w:val="single" w:color="auto" w:sz="12" w:space="0"/>
              <w:right w:val="single" w:color="auto" w:sz="12" w:space="0"/>
            </w:tcBorders>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kern w:val="0"/>
                <w:sz w:val="24"/>
                <w:szCs w:val="24"/>
              </w:rPr>
              <w:t>业务工作经费-</w:t>
            </w:r>
            <w:r>
              <w:rPr>
                <w:rFonts w:hint="eastAsia" w:ascii="仿宋" w:hAnsi="仿宋" w:eastAsia="仿宋" w:cs="仿宋"/>
                <w:color w:val="000000"/>
                <w:kern w:val="0"/>
                <w:sz w:val="24"/>
                <w:szCs w:val="24"/>
              </w:rPr>
              <w:t>林木种子加工处理与储藏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主管</w:t>
            </w:r>
          </w:p>
          <w:p>
            <w:pPr>
              <w:widowControl/>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部门</w:t>
            </w:r>
          </w:p>
        </w:tc>
        <w:tc>
          <w:tcPr>
            <w:tcW w:w="4399" w:type="dxa"/>
            <w:gridSpan w:val="4"/>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湖南省林业局</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实施单位</w:t>
            </w:r>
          </w:p>
        </w:tc>
        <w:tc>
          <w:tcPr>
            <w:tcW w:w="2998" w:type="dxa"/>
            <w:gridSpan w:val="3"/>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湖南省林木种子储备调剂中心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noWrap/>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rPr>
              <w:t>项目资金</w:t>
            </w:r>
          </w:p>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（万元）</w:t>
            </w:r>
          </w:p>
        </w:tc>
        <w:tc>
          <w:tcPr>
            <w:tcW w:w="2298" w:type="dxa"/>
            <w:gridSpan w:val="2"/>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104"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年初</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全年</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55" w:type="dxa"/>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全年</w:t>
            </w:r>
          </w:p>
          <w:p>
            <w:pPr>
              <w:jc w:val="center"/>
              <w:rPr>
                <w:rFonts w:ascii="仿宋" w:hAnsi="仿宋" w:eastAsia="仿宋" w:cs="仿宋"/>
                <w:sz w:val="24"/>
                <w:szCs w:val="24"/>
              </w:rPr>
            </w:pPr>
            <w:r>
              <w:rPr>
                <w:rFonts w:hint="eastAsia" w:ascii="仿宋" w:hAnsi="仿宋" w:eastAsia="仿宋" w:cs="仿宋"/>
                <w:sz w:val="24"/>
                <w:szCs w:val="24"/>
              </w:rPr>
              <w:t>执行数</w:t>
            </w:r>
          </w:p>
        </w:tc>
        <w:tc>
          <w:tcPr>
            <w:tcW w:w="707" w:type="dxa"/>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分值</w:t>
            </w:r>
          </w:p>
        </w:tc>
        <w:tc>
          <w:tcPr>
            <w:tcW w:w="873" w:type="dxa"/>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执行率</w:t>
            </w:r>
          </w:p>
        </w:tc>
        <w:tc>
          <w:tcPr>
            <w:tcW w:w="1418" w:type="dxa"/>
            <w:tcBorders>
              <w:right w:val="single" w:color="auto" w:sz="12"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2298" w:type="dxa"/>
            <w:gridSpan w:val="2"/>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年度资金总额　</w:t>
            </w: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15</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15</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15</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10</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2298" w:type="dxa"/>
            <w:gridSpan w:val="2"/>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其中：当年财政拨款　</w:t>
            </w: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2298" w:type="dxa"/>
            <w:gridSpan w:val="2"/>
            <w:shd w:val="clear" w:color="auto" w:fill="auto"/>
            <w:noWrap/>
            <w:vAlign w:val="center"/>
          </w:tcPr>
          <w:p>
            <w:pPr>
              <w:widowControl/>
              <w:ind w:firstLine="240" w:firstLineChars="1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上年结转资金　</w:t>
            </w: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2298" w:type="dxa"/>
            <w:gridSpan w:val="2"/>
            <w:shd w:val="clear" w:color="auto" w:fill="auto"/>
            <w:noWrap/>
            <w:vAlign w:val="center"/>
          </w:tcPr>
          <w:p>
            <w:pPr>
              <w:widowControl/>
              <w:ind w:firstLine="240" w:firstLineChars="1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其他资金</w:t>
            </w: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noWrap/>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年度总体目标</w:t>
            </w:r>
          </w:p>
        </w:tc>
        <w:tc>
          <w:tcPr>
            <w:tcW w:w="4399" w:type="dxa"/>
            <w:gridSpan w:val="4"/>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预期目标</w:t>
            </w:r>
          </w:p>
        </w:tc>
        <w:tc>
          <w:tcPr>
            <w:tcW w:w="4253" w:type="dxa"/>
            <w:gridSpan w:val="4"/>
            <w:tcBorders>
              <w:right w:val="single" w:color="auto" w:sz="12" w:space="0"/>
            </w:tcBorders>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4399" w:type="dxa"/>
            <w:gridSpan w:val="4"/>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确保日常运行　　</w:t>
            </w:r>
          </w:p>
        </w:tc>
        <w:tc>
          <w:tcPr>
            <w:tcW w:w="4253" w:type="dxa"/>
            <w:gridSpan w:val="4"/>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确保日常运行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noWrap/>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绩</w:t>
            </w:r>
          </w:p>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效</w:t>
            </w:r>
          </w:p>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指</w:t>
            </w:r>
          </w:p>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标</w:t>
            </w:r>
          </w:p>
        </w:tc>
        <w:tc>
          <w:tcPr>
            <w:tcW w:w="961"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一级指标</w:t>
            </w:r>
          </w:p>
        </w:tc>
        <w:tc>
          <w:tcPr>
            <w:tcW w:w="1337"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1104"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997"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年度</w:t>
            </w:r>
          </w:p>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指标值</w:t>
            </w:r>
          </w:p>
        </w:tc>
        <w:tc>
          <w:tcPr>
            <w:tcW w:w="1255"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实际</w:t>
            </w:r>
          </w:p>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完成值</w:t>
            </w:r>
          </w:p>
        </w:tc>
        <w:tc>
          <w:tcPr>
            <w:tcW w:w="707"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873" w:type="dxa"/>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得分</w:t>
            </w:r>
          </w:p>
        </w:tc>
        <w:tc>
          <w:tcPr>
            <w:tcW w:w="1418" w:type="dxa"/>
            <w:tcBorders>
              <w:right w:val="single" w:color="auto" w:sz="12" w:space="0"/>
            </w:tcBorders>
            <w:shd w:val="clear" w:color="auto" w:fill="auto"/>
            <w:noWrap/>
            <w:vAlign w:val="center"/>
          </w:tcPr>
          <w:p>
            <w:pPr>
              <w:widowControl/>
              <w:spacing w:line="2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偏差原因</w:t>
            </w:r>
          </w:p>
          <w:p>
            <w:pPr>
              <w:widowControl/>
              <w:spacing w:line="24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产出指标</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33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数量</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104" w:type="dxa"/>
            <w:shd w:val="clear" w:color="auto" w:fill="auto"/>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种子发放数量</w:t>
            </w: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2800公斤</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2851.2公斤</w:t>
            </w:r>
          </w:p>
        </w:tc>
        <w:tc>
          <w:tcPr>
            <w:tcW w:w="70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质量</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104" w:type="dxa"/>
            <w:shd w:val="clear" w:color="auto" w:fill="auto"/>
            <w:noWrap/>
            <w:vAlign w:val="center"/>
          </w:tcPr>
          <w:p>
            <w:pPr>
              <w:widowControl/>
              <w:jc w:val="center"/>
              <w:rPr>
                <w:rFonts w:ascii="仿宋" w:hAnsi="仿宋" w:eastAsia="仿宋" w:cs="仿宋"/>
                <w:color w:val="000000"/>
                <w:kern w:val="0"/>
                <w:sz w:val="24"/>
                <w:szCs w:val="24"/>
              </w:rPr>
            </w:pP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center"/>
              <w:rPr>
                <w:rFonts w:ascii="仿宋" w:hAnsi="仿宋" w:eastAsia="仿宋" w:cs="仿宋"/>
                <w:color w:val="000000"/>
                <w:kern w:val="0"/>
                <w:sz w:val="24"/>
                <w:szCs w:val="24"/>
              </w:rPr>
            </w:pPr>
          </w:p>
        </w:tc>
        <w:tc>
          <w:tcPr>
            <w:tcW w:w="1104"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时效</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104"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预算执行率</w:t>
            </w: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　</w:t>
            </w:r>
            <w:r>
              <w:rPr>
                <w:rFonts w:hint="eastAsia" w:ascii="仿宋" w:hAnsi="仿宋" w:eastAsia="仿宋" w:cs="仿宋"/>
                <w:color w:val="000000"/>
                <w:kern w:val="0"/>
                <w:sz w:val="24"/>
                <w:szCs w:val="24"/>
              </w:rPr>
              <w:t>100%</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70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成本</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104"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年度预算数</w:t>
            </w:r>
          </w:p>
        </w:tc>
        <w:tc>
          <w:tcPr>
            <w:tcW w:w="99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15</w:t>
            </w:r>
          </w:p>
        </w:tc>
        <w:tc>
          <w:tcPr>
            <w:tcW w:w="1255"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　</w:t>
            </w:r>
          </w:p>
        </w:tc>
        <w:tc>
          <w:tcPr>
            <w:tcW w:w="707" w:type="dxa"/>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restart"/>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效益指标</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经济效</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104" w:type="dxa"/>
            <w:shd w:val="clear" w:color="auto" w:fill="auto"/>
            <w:noWrap/>
            <w:vAlign w:val="center"/>
          </w:tcPr>
          <w:p>
            <w:pPr>
              <w:widowControl/>
              <w:jc w:val="left"/>
              <w:rPr>
                <w:rFonts w:ascii="仿宋" w:hAnsi="仿宋" w:eastAsia="仿宋" w:cs="仿宋"/>
                <w:color w:val="000000"/>
                <w:kern w:val="0"/>
                <w:sz w:val="24"/>
                <w:szCs w:val="24"/>
              </w:rPr>
            </w:pP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center"/>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社会效</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104" w:type="dxa"/>
            <w:shd w:val="clear" w:color="auto" w:fill="auto"/>
            <w:noWrap/>
            <w:vAlign w:val="center"/>
          </w:tcPr>
          <w:p>
            <w:pPr>
              <w:widowControl/>
              <w:jc w:val="left"/>
              <w:rPr>
                <w:rFonts w:ascii="仿宋" w:hAnsi="仿宋" w:eastAsia="仿宋" w:cs="仿宋"/>
                <w:color w:val="000000"/>
                <w:kern w:val="0"/>
                <w:sz w:val="24"/>
                <w:szCs w:val="24"/>
              </w:rPr>
            </w:pP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center"/>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生态效</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104" w:type="dxa"/>
            <w:shd w:val="clear" w:color="auto" w:fill="auto"/>
            <w:noWrap/>
            <w:vAlign w:val="center"/>
          </w:tcPr>
          <w:p>
            <w:pPr>
              <w:widowControl/>
              <w:jc w:val="left"/>
              <w:rPr>
                <w:rFonts w:ascii="仿宋" w:hAnsi="仿宋" w:eastAsia="仿宋" w:cs="仿宋"/>
                <w:color w:val="000000"/>
                <w:kern w:val="0"/>
                <w:sz w:val="24"/>
                <w:szCs w:val="24"/>
              </w:rPr>
            </w:pP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p>
        </w:tc>
        <w:tc>
          <w:tcPr>
            <w:tcW w:w="961" w:type="dxa"/>
            <w:vMerge w:val="continue"/>
            <w:shd w:val="clear" w:color="auto" w:fill="auto"/>
            <w:noWrap/>
            <w:vAlign w:val="center"/>
          </w:tcPr>
          <w:p>
            <w:pPr>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center"/>
              <w:rPr>
                <w:rFonts w:ascii="仿宋" w:hAnsi="仿宋" w:eastAsia="仿宋" w:cs="仿宋"/>
                <w:color w:val="000000"/>
                <w:kern w:val="0"/>
                <w:sz w:val="24"/>
                <w:szCs w:val="24"/>
              </w:rPr>
            </w:pPr>
          </w:p>
        </w:tc>
        <w:tc>
          <w:tcPr>
            <w:tcW w:w="961"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可持续影响指标</w:t>
            </w:r>
          </w:p>
        </w:tc>
        <w:tc>
          <w:tcPr>
            <w:tcW w:w="1104" w:type="dxa"/>
            <w:shd w:val="clear" w:color="auto" w:fill="auto"/>
            <w:noWrap/>
            <w:vAlign w:val="center"/>
          </w:tcPr>
          <w:p>
            <w:pPr>
              <w:widowControl/>
              <w:jc w:val="left"/>
              <w:rPr>
                <w:rFonts w:ascii="仿宋" w:hAnsi="仿宋" w:eastAsia="仿宋" w:cs="仿宋"/>
                <w:color w:val="000000"/>
                <w:kern w:val="0"/>
                <w:sz w:val="24"/>
                <w:szCs w:val="24"/>
              </w:rPr>
            </w:pP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szCs w:val="24"/>
              </w:rPr>
            </w:pPr>
          </w:p>
        </w:tc>
        <w:tc>
          <w:tcPr>
            <w:tcW w:w="961"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满意度</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指标</w:t>
            </w:r>
          </w:p>
          <w:p>
            <w:pPr>
              <w:widowControl/>
              <w:rPr>
                <w:rFonts w:ascii="仿宋" w:hAnsi="仿宋" w:eastAsia="仿宋" w:cs="仿宋"/>
                <w:color w:val="000000"/>
                <w:kern w:val="0"/>
                <w:sz w:val="24"/>
                <w:szCs w:val="24"/>
              </w:rPr>
            </w:pPr>
            <w:r>
              <w:rPr>
                <w:rFonts w:hint="eastAsia" w:ascii="仿宋" w:hAnsi="仿宋" w:eastAsia="仿宋" w:cs="仿宋"/>
                <w:color w:val="000000"/>
                <w:kern w:val="0"/>
                <w:sz w:val="18"/>
                <w:szCs w:val="18"/>
              </w:rPr>
              <w:t>（10分）</w:t>
            </w:r>
          </w:p>
        </w:tc>
        <w:tc>
          <w:tcPr>
            <w:tcW w:w="1337" w:type="dxa"/>
            <w:vMerge w:val="restart"/>
            <w:shd w:val="clear" w:color="auto" w:fill="auto"/>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服务对象满意度指标</w:t>
            </w:r>
          </w:p>
        </w:tc>
        <w:tc>
          <w:tcPr>
            <w:tcW w:w="1104" w:type="dxa"/>
            <w:shd w:val="clear" w:color="auto" w:fill="auto"/>
            <w:noWrap/>
            <w:vAlign w:val="center"/>
          </w:tcPr>
          <w:p>
            <w:pPr>
              <w:widowControl/>
              <w:jc w:val="left"/>
              <w:rPr>
                <w:rFonts w:ascii="仿宋" w:hAnsi="仿宋" w:eastAsia="仿宋" w:cs="仿宋"/>
                <w:color w:val="000000"/>
                <w:kern w:val="0"/>
                <w:sz w:val="24"/>
                <w:szCs w:val="24"/>
              </w:rPr>
            </w:pP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p>
        </w:tc>
        <w:tc>
          <w:tcPr>
            <w:tcW w:w="961"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337" w:type="dxa"/>
            <w:vMerge w:val="continue"/>
            <w:shd w:val="clear" w:color="auto" w:fill="auto"/>
            <w:noWrap/>
            <w:vAlign w:val="center"/>
          </w:tcPr>
          <w:p>
            <w:pPr>
              <w:widowControl/>
              <w:jc w:val="left"/>
              <w:rPr>
                <w:rFonts w:ascii="仿宋" w:hAnsi="仿宋" w:eastAsia="仿宋" w:cs="仿宋"/>
                <w:color w:val="000000"/>
                <w:kern w:val="0"/>
                <w:sz w:val="24"/>
                <w:szCs w:val="24"/>
              </w:rPr>
            </w:pPr>
          </w:p>
        </w:tc>
        <w:tc>
          <w:tcPr>
            <w:tcW w:w="1104"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9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03" w:type="dxa"/>
            <w:gridSpan w:val="4"/>
            <w:tcBorders>
              <w:left w:val="single" w:color="auto" w:sz="12" w:space="0"/>
              <w:bottom w:val="single" w:color="auto" w:sz="12" w:space="0"/>
            </w:tcBorders>
            <w:shd w:val="clear" w:color="auto" w:fill="auto"/>
            <w:noWrap/>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总  分</w:t>
            </w:r>
          </w:p>
        </w:tc>
        <w:tc>
          <w:tcPr>
            <w:tcW w:w="997"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1255"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707"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873"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szCs w:val="24"/>
              </w:rPr>
            </w:pPr>
          </w:p>
        </w:tc>
        <w:tc>
          <w:tcPr>
            <w:tcW w:w="1418" w:type="dxa"/>
            <w:tcBorders>
              <w:bottom w:val="single" w:color="auto" w:sz="12" w:space="0"/>
              <w:right w:val="single" w:color="auto" w:sz="12" w:space="0"/>
            </w:tcBorders>
            <w:shd w:val="clear" w:color="auto" w:fill="auto"/>
            <w:noWrap/>
            <w:vAlign w:val="center"/>
          </w:tcPr>
          <w:p>
            <w:pPr>
              <w:widowControl/>
              <w:jc w:val="left"/>
              <w:rPr>
                <w:rFonts w:ascii="仿宋" w:hAnsi="仿宋" w:eastAsia="仿宋" w:cs="仿宋"/>
                <w:color w:val="000000"/>
                <w:kern w:val="0"/>
                <w:sz w:val="24"/>
                <w:szCs w:val="24"/>
              </w:rPr>
            </w:pPr>
          </w:p>
        </w:tc>
      </w:tr>
    </w:tbl>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3431"/>
    <w:rsid w:val="10E22109"/>
    <w:rsid w:val="2F2F4E3B"/>
    <w:rsid w:val="33B40332"/>
    <w:rsid w:val="4DE57AE6"/>
    <w:rsid w:val="538B5C8C"/>
    <w:rsid w:val="55EE63CF"/>
    <w:rsid w:val="567E3AF4"/>
    <w:rsid w:val="5A7E6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_Style 8"/>
    <w:basedOn w:val="1"/>
    <w:next w:val="6"/>
    <w:qFormat/>
    <w:uiPriority w:val="99"/>
    <w:pPr>
      <w:ind w:firstLine="420" w:firstLineChars="200"/>
    </w:pPr>
    <w:rPr>
      <w:rFonts w:ascii="Calibri" w:hAnsi="Calibri" w:eastAsia="宋体"/>
    </w:rPr>
  </w:style>
  <w:style w:type="paragraph" w:customStyle="1" w:styleId="6">
    <w:name w:val="列出段落1"/>
    <w:basedOn w:val="1"/>
    <w:qFormat/>
    <w:uiPriority w:val="34"/>
    <w:pPr>
      <w:ind w:firstLine="420" w:firstLineChars="200"/>
    </w:pPr>
  </w:style>
  <w:style w:type="paragraph" w:styleId="7">
    <w:name w:val="List Paragraph"/>
    <w:basedOn w:val="1"/>
    <w:qFormat/>
    <w:uiPriority w:val="99"/>
    <w:pPr>
      <w:ind w:firstLine="420" w:firstLineChars="200"/>
    </w:pPr>
    <w:rPr>
      <w:rFonts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