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/>
        <w:jc w:val="center"/>
        <w:rPr>
          <w:rFonts w:hint="default" w:ascii="Times New Roman" w:hAnsi="Times New Roman" w:eastAsia="华文行楷" w:cs="Times New Roman"/>
          <w:b/>
          <w:bCs w:val="0"/>
          <w:iCs/>
          <w:color w:val="FF0000"/>
          <w:spacing w:val="160"/>
          <w:kern w:val="21"/>
          <w:sz w:val="92"/>
          <w:szCs w:val="92"/>
          <w:lang w:eastAsia="zh-CN"/>
        </w:rPr>
      </w:pPr>
      <w:r>
        <w:rPr>
          <w:rFonts w:hint="default" w:ascii="Times New Roman" w:hAnsi="Times New Roman" w:eastAsia="华文行楷" w:cs="Times New Roman"/>
          <w:bCs/>
          <w:iCs/>
          <w:color w:val="FF0000"/>
          <w:spacing w:val="-113"/>
          <w:sz w:val="112"/>
          <w:szCs w:val="112"/>
          <w:lang w:eastAsia="zh-CN"/>
        </w:rPr>
        <w:t>湖南省林长制工作简报</w:t>
      </w:r>
    </w:p>
    <w:p>
      <w:pPr>
        <w:jc w:val="center"/>
        <w:rPr>
          <w:rFonts w:hint="default" w:ascii="Times New Roman" w:hAnsi="Times New Roman" w:eastAsia="方正黑体简体" w:cs="Times New Roman"/>
          <w:sz w:val="36"/>
        </w:rPr>
      </w:pPr>
      <w:r>
        <w:rPr>
          <w:rFonts w:hint="default" w:ascii="Times New Roman" w:hAnsi="Times New Roman" w:eastAsia="方正黑体简体" w:cs="Times New Roman"/>
          <w:sz w:val="36"/>
        </w:rPr>
        <w:t>第</w:t>
      </w:r>
      <w:r>
        <w:rPr>
          <w:rFonts w:hint="default" w:ascii="Times New Roman" w:hAnsi="Times New Roman" w:eastAsia="方正黑体简体" w:cs="Times New Roman"/>
          <w:sz w:val="36"/>
          <w:lang w:val="en-US" w:eastAsia="zh-CN"/>
        </w:rPr>
        <w:t>10</w:t>
      </w:r>
      <w:r>
        <w:rPr>
          <w:rFonts w:hint="default" w:ascii="Times New Roman" w:hAnsi="Times New Roman" w:eastAsia="方正黑体简体" w:cs="Times New Roman"/>
          <w:sz w:val="36"/>
        </w:rPr>
        <w:t>期</w:t>
      </w:r>
    </w:p>
    <w:p>
      <w:pPr>
        <w:jc w:val="center"/>
        <w:rPr>
          <w:rFonts w:hint="default" w:ascii="Times New Roman" w:hAnsi="Times New Roman" w:eastAsia="方正黑体简体" w:cs="Times New Roman"/>
          <w:sz w:val="36"/>
          <w:lang w:eastAsia="zh-CN"/>
        </w:rPr>
      </w:pPr>
    </w:p>
    <w:p>
      <w:pPr>
        <w:spacing w:before="240" w:beforeLine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sz w:val="30"/>
        </w:rPr>
        <w:t>湖南省林</w:t>
      </w:r>
      <w:r>
        <w:rPr>
          <w:rFonts w:hint="default" w:ascii="Times New Roman" w:hAnsi="Times New Roman" w:eastAsia="楷体_GB2312" w:cs="Times New Roman"/>
          <w:sz w:val="30"/>
          <w:lang w:eastAsia="zh-CN"/>
        </w:rPr>
        <w:t>长制工作办公室</w:t>
      </w:r>
      <w:r>
        <w:rPr>
          <w:rFonts w:hint="default" w:ascii="Times New Roman" w:hAnsi="Times New Roman" w:eastAsia="楷体_GB2312" w:cs="Times New Roman"/>
          <w:sz w:val="30"/>
        </w:rPr>
        <w:t xml:space="preserve">   </w:t>
      </w:r>
      <w:bookmarkStart w:id="0" w:name="_GoBack"/>
      <w:r>
        <w:rPr>
          <w:rFonts w:hint="default" w:ascii="Times New Roman" w:hAnsi="Times New Roman" w:eastAsia="楷体_GB2312" w:cs="Times New Roman"/>
          <w:sz w:val="30"/>
          <w:lang w:eastAsia="zh-CN"/>
        </w:rPr>
        <w:t>（总第</w:t>
      </w:r>
      <w:r>
        <w:rPr>
          <w:rFonts w:hint="default" w:ascii="Times New Roman" w:hAnsi="Times New Roman" w:eastAsia="楷体_GB2312" w:cs="Times New Roman"/>
          <w:sz w:val="30"/>
          <w:lang w:val="en-US" w:eastAsia="zh-CN"/>
        </w:rPr>
        <w:t>10期</w:t>
      </w:r>
      <w:r>
        <w:rPr>
          <w:rFonts w:hint="default" w:ascii="Times New Roman" w:hAnsi="Times New Roman" w:eastAsia="楷体_GB2312" w:cs="Times New Roman"/>
          <w:sz w:val="30"/>
          <w:lang w:eastAsia="zh-CN"/>
        </w:rPr>
        <w:t>）</w:t>
      </w:r>
      <w:bookmarkEnd w:id="0"/>
      <w:r>
        <w:rPr>
          <w:rFonts w:hint="default" w:ascii="Times New Roman" w:hAnsi="Times New Roman" w:eastAsia="楷体_GB2312" w:cs="Times New Roman"/>
          <w:sz w:val="30"/>
        </w:rPr>
        <w:t xml:space="preserve"> </w:t>
      </w:r>
      <w:r>
        <w:rPr>
          <w:rFonts w:hint="default" w:ascii="Times New Roman" w:hAnsi="Times New Roman" w:eastAsia="楷体_GB2312" w:cs="Times New Roman"/>
          <w:sz w:val="30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sz w:val="30"/>
        </w:rPr>
        <w:t xml:space="preserve">  </w:t>
      </w:r>
      <w:r>
        <w:rPr>
          <w:rFonts w:hint="default" w:ascii="Times New Roman" w:hAnsi="Times New Roman" w:eastAsia="楷体_GB2312" w:cs="Times New Roman"/>
          <w:sz w:val="30"/>
          <w:lang w:val="en-US" w:eastAsia="zh-CN"/>
        </w:rPr>
        <w:t>2021</w:t>
      </w:r>
      <w:r>
        <w:rPr>
          <w:rFonts w:hint="default" w:ascii="Times New Roman" w:hAnsi="Times New Roman" w:eastAsia="楷体_GB2312" w:cs="Times New Roman"/>
          <w:sz w:val="30"/>
        </w:rPr>
        <w:t>年</w:t>
      </w:r>
      <w:r>
        <w:rPr>
          <w:rFonts w:hint="default" w:ascii="Times New Roman" w:hAnsi="Times New Roman" w:eastAsia="楷体_GB2312" w:cs="Times New Roman"/>
          <w:sz w:val="30"/>
          <w:lang w:val="en-US" w:eastAsia="zh-CN"/>
        </w:rPr>
        <w:t>11</w:t>
      </w:r>
      <w:r>
        <w:rPr>
          <w:rFonts w:hint="default" w:ascii="Times New Roman" w:hAnsi="Times New Roman" w:eastAsia="楷体_GB2312" w:cs="Times New Roman"/>
          <w:sz w:val="30"/>
        </w:rPr>
        <w:t>月</w:t>
      </w:r>
      <w:r>
        <w:rPr>
          <w:rFonts w:hint="default" w:ascii="Times New Roman" w:hAnsi="Times New Roman" w:eastAsia="楷体_GB2312" w:cs="Times New Roman"/>
          <w:sz w:val="30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0"/>
        </w:rPr>
        <w:t>日</w:t>
      </w:r>
    </w:p>
    <w:p>
      <w:pPr>
        <w:spacing w:before="120" w:beforeLines="50" w:after="120" w:afterLines="50" w:line="580" w:lineRule="exact"/>
        <w:jc w:val="center"/>
        <w:rPr>
          <w:rFonts w:hint="default" w:ascii="Times New Roman" w:hAnsi="Times New Roman" w:eastAsia="方正魏碑简体" w:cs="Times New Roman"/>
          <w:sz w:val="44"/>
        </w:rPr>
      </w:pPr>
      <w:r>
        <w:rPr>
          <w:rFonts w:hint="default" w:ascii="Times New Roman" w:hAnsi="Times New Roman" w:eastAsia="方正魏碑简体" w:cs="Times New Roman"/>
          <w:bCs/>
          <w:color w:val="0000FF"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0</wp:posOffset>
                </wp:positionV>
                <wp:extent cx="572071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4.05pt;margin-top:0pt;height:0pt;width:450.45pt;z-index:251658240;mso-width-relative:page;mso-height-relative:page;" filled="f" stroked="t" coordsize="21600,21600" o:gfxdata="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HAPc+0wAAAAQBAAAPAAAAAAAAAAEAIAAAACIAAABkcnMv&#10;ZG93bnJldi54bWxQSwECFAAUAAAACACHTuJA7pZet88BAACOAwAADgAAAAAAAAABACAAAAAiAQAA&#10;ZHJzL2Uyb0RvYy54bWxQSwUGAAAAAAYABgBZAQAAYwUAAAAA&#10;">
                <v:path arrowok="t"/>
                <v:fill on="f" focussize="0,0"/>
                <v:stroke weight="2pt" color="#FF0000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全省林长制工作进展情况通报</w:t>
      </w:r>
    </w:p>
    <w:p>
      <w:pPr>
        <w:rPr>
          <w:rFonts w:hint="default" w:ascii="Times New Roman" w:hAnsi="Times New Roman" w:cs="Times New Roman"/>
          <w:sz w:val="32"/>
          <w:szCs w:val="32"/>
          <w:lang w:eastAsia="zh-CN"/>
        </w:rPr>
      </w:pPr>
    </w:p>
    <w:p>
      <w:pPr>
        <w:pStyle w:val="4"/>
        <w:widowControl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截至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日，全省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已有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13个市州出台林长制工作方案（娄底市工作方案已经市委常委会审议通过）。143个县市区中，有93个出台了实施方案，50个尚未出台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。各县市区具体情况如下：</w:t>
      </w:r>
    </w:p>
    <w:p>
      <w:pPr>
        <w:pStyle w:val="4"/>
        <w:widowControl/>
        <w:numPr>
          <w:ilvl w:val="0"/>
          <w:numId w:val="1"/>
        </w:numPr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eastAsia="zh-CN"/>
        </w:rPr>
        <w:t>已</w:t>
      </w: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  <w:t>出台</w:t>
      </w: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eastAsia="zh-CN"/>
        </w:rPr>
        <w:t>实施方案的县市区</w:t>
      </w: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  <w:t>（</w:t>
      </w: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eastAsia="zh-CN"/>
        </w:rPr>
        <w:t>93个</w:t>
      </w: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  <w:t>）</w:t>
      </w:r>
    </w:p>
    <w:tbl>
      <w:tblPr>
        <w:tblStyle w:val="7"/>
        <w:tblW w:w="9210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893"/>
        <w:gridCol w:w="6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top"/>
          </w:tcPr>
          <w:p>
            <w:pPr>
              <w:pStyle w:val="4"/>
              <w:widowControl/>
              <w:numPr>
                <w:ilvl w:val="0"/>
                <w:numId w:val="0"/>
              </w:numPr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eastAsia="zh-CN"/>
              </w:rPr>
              <w:t>市州</w:t>
            </w:r>
          </w:p>
        </w:tc>
        <w:tc>
          <w:tcPr>
            <w:tcW w:w="893" w:type="dxa"/>
            <w:vAlign w:val="top"/>
          </w:tcPr>
          <w:p>
            <w:pPr>
              <w:pStyle w:val="4"/>
              <w:widowControl/>
              <w:numPr>
                <w:ilvl w:val="0"/>
                <w:numId w:val="0"/>
              </w:numPr>
              <w:spacing w:before="0" w:beforeAutospacing="0" w:after="0" w:afterAutospacing="0" w:line="6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eastAsia="zh-CN"/>
              </w:rPr>
              <w:t>数量</w:t>
            </w:r>
          </w:p>
        </w:tc>
        <w:tc>
          <w:tcPr>
            <w:tcW w:w="6802" w:type="dxa"/>
            <w:vAlign w:val="top"/>
          </w:tcPr>
          <w:p>
            <w:pPr>
              <w:pStyle w:val="4"/>
              <w:widowControl/>
              <w:numPr>
                <w:ilvl w:val="0"/>
                <w:numId w:val="0"/>
              </w:numPr>
              <w:spacing w:before="0" w:beforeAutospacing="0" w:after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eastAsia="zh-CN"/>
              </w:rPr>
              <w:t>县市区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长沙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市</w:t>
            </w:r>
          </w:p>
        </w:tc>
        <w:tc>
          <w:tcPr>
            <w:tcW w:w="8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80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浏阳市、宁乡市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、望城区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衡阳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市</w:t>
            </w:r>
          </w:p>
        </w:tc>
        <w:tc>
          <w:tcPr>
            <w:tcW w:w="8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80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衡南县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、石鼓区、南岳区、常宁市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株洲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市</w:t>
            </w:r>
          </w:p>
        </w:tc>
        <w:tc>
          <w:tcPr>
            <w:tcW w:w="8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80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渌口区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湘潭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市</w:t>
            </w:r>
          </w:p>
        </w:tc>
        <w:tc>
          <w:tcPr>
            <w:tcW w:w="8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80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湘乡市、雨湖区、湘潭经开区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5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邵阳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市</w:t>
            </w:r>
          </w:p>
        </w:tc>
        <w:tc>
          <w:tcPr>
            <w:tcW w:w="8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680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邵东市、武冈市、新邵县、隆回县、洞口县、新宁县、城步县、绥宁县、邵阳县、大祥区、双清区、北塔区、邵阳经开区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岳阳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市</w:t>
            </w:r>
          </w:p>
        </w:tc>
        <w:tc>
          <w:tcPr>
            <w:tcW w:w="8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680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岳阳楼区、君山区、云溪区、临湘市、湘阴县、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2"/>
                <w:szCs w:val="32"/>
                <w:lang w:eastAsia="zh-CN"/>
              </w:rPr>
              <w:t>平江县、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华容县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、屈原区、岳阳经开区、南湖新区、汨罗市、岳阳县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常德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市</w:t>
            </w:r>
          </w:p>
        </w:tc>
        <w:tc>
          <w:tcPr>
            <w:tcW w:w="8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680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临澧县、武陵区、汉寿县、津市市、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石门县、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安乡县、西洞庭管理区、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桃源县、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澧县、鼎城区、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柳叶湖旅游度假区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2"/>
                <w:szCs w:val="32"/>
                <w:lang w:eastAsia="zh-CN"/>
              </w:rPr>
              <w:t>桃花源旅游管理区、常德经开区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张家界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市</w:t>
            </w:r>
          </w:p>
        </w:tc>
        <w:tc>
          <w:tcPr>
            <w:tcW w:w="8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80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益阳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市</w:t>
            </w:r>
          </w:p>
        </w:tc>
        <w:tc>
          <w:tcPr>
            <w:tcW w:w="8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80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安化县、资阳区、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沅江市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、赫山区、大通湖管理区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郴州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市</w:t>
            </w:r>
          </w:p>
        </w:tc>
        <w:tc>
          <w:tcPr>
            <w:tcW w:w="8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80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北湖区、宜章县、永兴县、汝城县、桂东县、安仁县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永州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市</w:t>
            </w:r>
          </w:p>
        </w:tc>
        <w:tc>
          <w:tcPr>
            <w:tcW w:w="8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680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零陵区、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东安县、道县、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祁阳市、蓝山县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江永县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、江华县、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宁远县、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新田县、双牌县、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回龙圩管理局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金洞管理区、永州经开区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怀化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市</w:t>
            </w:r>
          </w:p>
        </w:tc>
        <w:tc>
          <w:tcPr>
            <w:tcW w:w="8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680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辰溪县、靖州县、溆浦县、通道县、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麻阳县、中方县、新晃县、鹤城区、芷江县、会同县、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沅陵县、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洪江区、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洪江市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娄底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市</w:t>
            </w:r>
          </w:p>
        </w:tc>
        <w:tc>
          <w:tcPr>
            <w:tcW w:w="8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80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涟源市、双峰县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湘西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自治州</w:t>
            </w:r>
          </w:p>
        </w:tc>
        <w:tc>
          <w:tcPr>
            <w:tcW w:w="89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80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永顺县、龙山县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、古丈县、保靖县、花垣县</w:t>
            </w:r>
          </w:p>
        </w:tc>
      </w:tr>
    </w:tbl>
    <w:p>
      <w:pPr>
        <w:pStyle w:val="4"/>
        <w:widowControl/>
        <w:numPr>
          <w:ilvl w:val="0"/>
          <w:numId w:val="0"/>
        </w:numPr>
        <w:spacing w:before="0" w:beforeAutospacing="0" w:after="0" w:afterAutospacing="0" w:line="600" w:lineRule="exact"/>
        <w:jc w:val="both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eastAsia="zh-CN"/>
        </w:rPr>
        <w:t>未</w:t>
      </w: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  <w:t>出台</w:t>
      </w: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eastAsia="zh-CN"/>
        </w:rPr>
        <w:t>实施方案的县市区</w:t>
      </w: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  <w:t>（</w:t>
      </w: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eastAsia="zh-CN"/>
        </w:rPr>
        <w:t>50个</w:t>
      </w: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  <w:t>）</w:t>
      </w:r>
    </w:p>
    <w:tbl>
      <w:tblPr>
        <w:tblStyle w:val="7"/>
        <w:tblW w:w="9180" w:type="dxa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85"/>
        <w:gridCol w:w="6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市州</w:t>
            </w:r>
          </w:p>
        </w:tc>
        <w:tc>
          <w:tcPr>
            <w:tcW w:w="8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数量</w:t>
            </w:r>
          </w:p>
        </w:tc>
        <w:tc>
          <w:tcPr>
            <w:tcW w:w="670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县市区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长沙市</w:t>
            </w:r>
          </w:p>
        </w:tc>
        <w:tc>
          <w:tcPr>
            <w:tcW w:w="8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70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长沙县、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2"/>
                <w:szCs w:val="32"/>
                <w:lang w:eastAsia="zh-CN"/>
              </w:rPr>
              <w:t>开福区、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芙蓉区、岳麓区、天心区、雨花区、长沙高新区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衡阳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市</w:t>
            </w:r>
          </w:p>
        </w:tc>
        <w:tc>
          <w:tcPr>
            <w:tcW w:w="8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70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耒阳市、衡山县、衡东县、蒸湘区、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2"/>
                <w:szCs w:val="32"/>
                <w:lang w:eastAsia="zh-CN"/>
              </w:rPr>
              <w:t>祁东县、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珠晖区、雁峰区、衡阳县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株洲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市</w:t>
            </w:r>
          </w:p>
        </w:tc>
        <w:tc>
          <w:tcPr>
            <w:tcW w:w="8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70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株洲经开区、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2"/>
                <w:szCs w:val="32"/>
                <w:lang w:eastAsia="zh-CN"/>
              </w:rPr>
              <w:t>醴陵市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、茶陵县、石峰区、荷塘区、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炎陵县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天元区、芦淞区、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攸县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湘潭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市</w:t>
            </w:r>
          </w:p>
        </w:tc>
        <w:tc>
          <w:tcPr>
            <w:tcW w:w="8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70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2"/>
                <w:szCs w:val="32"/>
                <w:lang w:eastAsia="zh-CN"/>
              </w:rPr>
              <w:t>湘潭县、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湘潭高新区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岳塘区、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韶山市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常德市</w:t>
            </w:r>
          </w:p>
        </w:tc>
        <w:tc>
          <w:tcPr>
            <w:tcW w:w="8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70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西湖管理区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张家界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市</w:t>
            </w:r>
          </w:p>
        </w:tc>
        <w:tc>
          <w:tcPr>
            <w:tcW w:w="8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70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永定区、武陵源区、慈利县、桑植县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益阳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市</w:t>
            </w:r>
          </w:p>
        </w:tc>
        <w:tc>
          <w:tcPr>
            <w:tcW w:w="8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70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南县、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桃江县、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益阳高新区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郴州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市</w:t>
            </w:r>
          </w:p>
        </w:tc>
        <w:tc>
          <w:tcPr>
            <w:tcW w:w="8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70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苏仙区、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</w:rPr>
              <w:t>资兴市、桂阳县、嘉禾县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临武县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永州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市</w:t>
            </w:r>
          </w:p>
        </w:tc>
        <w:tc>
          <w:tcPr>
            <w:tcW w:w="8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70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冷水滩区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娄底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市</w:t>
            </w:r>
          </w:p>
        </w:tc>
        <w:tc>
          <w:tcPr>
            <w:tcW w:w="8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70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娄星区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冷水江市、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娄底经开区、新化县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  <w:t>湘西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自治州</w:t>
            </w:r>
          </w:p>
        </w:tc>
        <w:tc>
          <w:tcPr>
            <w:tcW w:w="8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70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凤凰县、泸溪县、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32"/>
                <w:szCs w:val="32"/>
                <w:lang w:eastAsia="zh-CN"/>
              </w:rPr>
              <w:t>吉首市、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eastAsia="zh-CN"/>
              </w:rPr>
              <w:t>湘西高新区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（信息来源：根据各市州上报数据整理）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219710</wp:posOffset>
                </wp:positionV>
                <wp:extent cx="5709920" cy="1079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5pt;margin-top:17.3pt;height:0.85pt;width:449.6pt;z-index:251660288;mso-width-relative:page;mso-height-relative:page;" filled="f" stroked="t" coordsize="21600,21600" o:gfxdata="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Sc9CD1wAAAAYBAAAPAAAA&#10;AAAAAAEAIAAAACIAAABkcnMvZG93bnJldi54bWxQSwECFAAUAAAACACHTuJASfdo0t0BAAClAwAA&#10;DgAAAAAAAAABACAAAAAmAQAAZHJzL2Uyb0RvYy54bWxQSwUGAAAAAAYABgBZAQAAdQUAAAAA&#10;">
                <v:path arrowok="t"/>
                <v:fill on="f" focussize="0,0"/>
                <v:stroke weight="1pt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28"/>
          <w:szCs w:val="28"/>
        </w:rPr>
        <w:t>报送：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省总林长、第一副总林长、副总林长。</w:t>
      </w:r>
    </w:p>
    <w:p>
      <w:pPr>
        <w:spacing w:line="500" w:lineRule="exact"/>
        <w:ind w:left="1124" w:hanging="1124" w:hangingChars="400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28"/>
          <w:szCs w:val="28"/>
          <w:lang w:eastAsia="zh-CN"/>
        </w:rPr>
        <w:t>分送</w:t>
      </w:r>
      <w:r>
        <w:rPr>
          <w:rFonts w:hint="default" w:ascii="Times New Roman" w:hAnsi="Times New Roman" w:eastAsia="方正仿宋_GBK" w:cs="Times New Roman"/>
          <w:b/>
          <w:color w:val="000000"/>
          <w:sz w:val="28"/>
          <w:szCs w:val="28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国家林草局林长办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，省委办公厅、省人大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常委会办公厅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、省政府办</w:t>
      </w:r>
    </w:p>
    <w:p>
      <w:pPr>
        <w:spacing w:line="500" w:lineRule="exact"/>
        <w:ind w:left="1118" w:leftChars="399" w:hanging="280" w:hangingChars="100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公厅、省政协办公厅、省林长制协作单位，各市州、县市区林长、</w:t>
      </w:r>
    </w:p>
    <w:p>
      <w:pPr>
        <w:spacing w:line="500" w:lineRule="exact"/>
        <w:ind w:left="1118" w:leftChars="399" w:hanging="280" w:hangingChars="100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林长制工作办公室。</w:t>
      </w:r>
    </w:p>
    <w:p>
      <w:pPr>
        <w:spacing w:line="500" w:lineRule="exact"/>
        <w:ind w:left="1124" w:hanging="1120" w:hangingChars="40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69215</wp:posOffset>
                </wp:positionV>
                <wp:extent cx="5709920" cy="10795"/>
                <wp:effectExtent l="0" t="0" r="0" b="0"/>
                <wp:wrapNone/>
                <wp:docPr id="4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0.15pt;margin-top:5.45pt;height:0.85pt;width:449.6pt;z-index:251659264;mso-width-relative:page;mso-height-relative:page;" filled="f" stroked="t" coordsize="21600,21600" o:gfxdata="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8S1QldUAAAAGAQAADwAAAAAA&#10;AAABACAAAAAiAAAAZHJzL2Rvd25yZXYueG1sUEsBAhQAFAAAAAgAh07iQFotJCDdAQAApQMAAA4A&#10;AAAAAAAAAQAgAAAAJAEAAGRycy9lMm9Eb2MueG1sUEsFBgAAAAAGAAYAWQEAAHMFAAAAAA==&#10;">
                <v:path arrowok="t"/>
                <v:fill on="f" focussize="0,0"/>
                <v:stroke weight="1pt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</w:t>
      </w:r>
    </w:p>
    <w:p>
      <w:pPr>
        <w:widowControl w:val="0"/>
        <w:ind w:left="5678" w:leftChars="2704" w:firstLine="0" w:firstLineChars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2"/>
          <w:sz w:val="30"/>
          <w:szCs w:val="30"/>
          <w:lang w:val="en-US" w:eastAsia="zh-CN" w:bidi="ar-SA"/>
        </w:rPr>
        <w:t>湘政简准字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0"/>
          <w:szCs w:val="30"/>
          <w:lang w:val="en-US" w:eastAsia="zh-CN" w:bidi="ar-SA"/>
        </w:rPr>
        <w:t>〔2019〕25</w:t>
      </w:r>
      <w:r>
        <w:rPr>
          <w:rFonts w:hint="default" w:ascii="Times New Roman" w:hAnsi="Times New Roman" w:eastAsia="方正黑体_GBK" w:cs="Times New Roman"/>
          <w:color w:val="000000"/>
          <w:kern w:val="2"/>
          <w:sz w:val="30"/>
          <w:szCs w:val="30"/>
          <w:lang w:val="en-US" w:eastAsia="zh-CN" w:bidi="ar-SA"/>
        </w:rPr>
        <w:t>号</w:t>
      </w:r>
    </w:p>
    <w:p/>
    <w:sectPr>
      <w:headerReference r:id="rId3" w:type="default"/>
      <w:footerReference r:id="rId4" w:type="default"/>
      <w:type w:val="continuous"/>
      <w:pgSz w:w="11905" w:h="16837"/>
      <w:pgMar w:top="1588" w:right="1304" w:bottom="1304" w:left="1304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魏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A152"/>
    <w:multiLevelType w:val="singleLevel"/>
    <w:tmpl w:val="617FA15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64E99"/>
    <w:rsid w:val="7E064E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2021-11-05T08:07:00Z</dcterms:created>
  <dc:creator>马丹丹</dc:creator>
  <cp:lastModifiedBy>马丹丹</cp:lastModifiedBy>
  <dcterms:modified xsi:type="dcterms:W3CDTF">2021-11-05T08:09:13Z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