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32"/>
          <w:szCs w:val="32"/>
        </w:rPr>
      </w:pPr>
      <w:r>
        <w:rPr>
          <w:rFonts w:ascii="Times New Roman" w:hAnsi="Times New Roman" w:eastAsia="方正黑体_GBK"/>
          <w:sz w:val="32"/>
          <w:szCs w:val="32"/>
        </w:rPr>
        <w:t>附件1</w:t>
      </w:r>
    </w:p>
    <w:p>
      <w:pPr>
        <w:jc w:val="center"/>
        <w:rPr>
          <w:rFonts w:ascii="Times New Roman" w:hAnsi="Times New Roman" w:eastAsia="方正小标宋_GBK"/>
          <w:sz w:val="30"/>
          <w:szCs w:val="30"/>
        </w:rPr>
      </w:pPr>
      <w:r>
        <w:rPr>
          <w:rFonts w:ascii="Times New Roman" w:hAnsi="Times New Roman" w:eastAsia="方正小标宋_GBK"/>
          <w:sz w:val="30"/>
          <w:szCs w:val="30"/>
        </w:rPr>
        <w:t>湖南湘阴横岭湖省级自然保护区范围和功能区调整基本情况</w:t>
      </w:r>
    </w:p>
    <w:tbl>
      <w:tblPr>
        <w:tblStyle w:val="3"/>
        <w:tblW w:w="14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612"/>
        <w:gridCol w:w="1134"/>
        <w:gridCol w:w="851"/>
        <w:gridCol w:w="5811"/>
        <w:gridCol w:w="184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906" w:type="dxa"/>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保护区</w:t>
            </w:r>
          </w:p>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名称</w:t>
            </w:r>
          </w:p>
        </w:tc>
        <w:tc>
          <w:tcPr>
            <w:tcW w:w="1612" w:type="dxa"/>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所在行政区域及地理坐标</w:t>
            </w:r>
          </w:p>
        </w:tc>
        <w:tc>
          <w:tcPr>
            <w:tcW w:w="1134" w:type="dxa"/>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主要保护对象</w:t>
            </w:r>
          </w:p>
        </w:tc>
        <w:tc>
          <w:tcPr>
            <w:tcW w:w="851" w:type="dxa"/>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调整类型</w:t>
            </w:r>
          </w:p>
        </w:tc>
        <w:tc>
          <w:tcPr>
            <w:tcW w:w="5811" w:type="dxa"/>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调整理由</w:t>
            </w:r>
          </w:p>
        </w:tc>
        <w:tc>
          <w:tcPr>
            <w:tcW w:w="1843" w:type="dxa"/>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调整前面积</w:t>
            </w:r>
          </w:p>
        </w:tc>
        <w:tc>
          <w:tcPr>
            <w:tcW w:w="1860" w:type="dxa"/>
            <w:vAlign w:val="center"/>
          </w:tcPr>
          <w:p>
            <w:pPr>
              <w:spacing w:line="400" w:lineRule="exact"/>
              <w:ind w:left="-88" w:leftChars="-42" w:right="-101" w:rightChars="-48"/>
              <w:jc w:val="center"/>
              <w:rPr>
                <w:rFonts w:ascii="Times New Roman" w:hAnsi="Times New Roman" w:eastAsia="仿宋_GB2312"/>
                <w:b/>
                <w:bCs/>
                <w:sz w:val="30"/>
                <w:szCs w:val="30"/>
              </w:rPr>
            </w:pPr>
            <w:r>
              <w:rPr>
                <w:rFonts w:ascii="Times New Roman" w:hAnsi="Times New Roman" w:eastAsia="仿宋_GB2312"/>
                <w:b/>
                <w:bCs/>
                <w:sz w:val="30"/>
                <w:szCs w:val="30"/>
              </w:rPr>
              <w:t>调整后面积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5" w:hRule="atLeast"/>
        </w:trPr>
        <w:tc>
          <w:tcPr>
            <w:tcW w:w="906" w:type="dxa"/>
            <w:vAlign w:val="center"/>
          </w:tcPr>
          <w:p>
            <w:pPr>
              <w:spacing w:line="320" w:lineRule="exact"/>
              <w:ind w:left="-88" w:leftChars="-42" w:right="-101" w:rightChars="-48"/>
              <w:jc w:val="left"/>
              <w:rPr>
                <w:rFonts w:ascii="Times New Roman" w:hAnsi="Times New Roman" w:eastAsia="仿宋_GB2312"/>
                <w:sz w:val="24"/>
              </w:rPr>
            </w:pPr>
            <w:r>
              <w:rPr>
                <w:rFonts w:ascii="Times New Roman" w:hAnsi="Times New Roman" w:eastAsia="仿宋_GB2312"/>
                <w:sz w:val="24"/>
              </w:rPr>
              <w:t>湖南湘阴横岭湖省级自然保护区</w:t>
            </w:r>
          </w:p>
        </w:tc>
        <w:tc>
          <w:tcPr>
            <w:tcW w:w="1612" w:type="dxa"/>
            <w:vAlign w:val="center"/>
          </w:tcPr>
          <w:p>
            <w:pPr>
              <w:spacing w:line="320" w:lineRule="exact"/>
              <w:ind w:left="-88" w:leftChars="-42" w:right="-101" w:rightChars="-48"/>
              <w:jc w:val="left"/>
              <w:rPr>
                <w:rFonts w:ascii="Times New Roman" w:hAnsi="Times New Roman" w:eastAsia="仿宋_GB2312"/>
                <w:sz w:val="24"/>
              </w:rPr>
            </w:pPr>
            <w:r>
              <w:rPr>
                <w:rFonts w:ascii="Times New Roman" w:hAnsi="Times New Roman" w:eastAsia="仿宋_GB2312"/>
                <w:sz w:val="24"/>
              </w:rPr>
              <w:t>湘阴县鹤龙湖镇、杨林寨乡、三塘镇、石塘镇</w:t>
            </w:r>
            <w:r>
              <w:rPr>
                <w:rFonts w:hint="eastAsia" w:ascii="Times New Roman" w:hAnsi="Times New Roman" w:eastAsia="仿宋_GB2312"/>
                <w:sz w:val="24"/>
              </w:rPr>
              <w:t>、湘滨镇、文星街道</w:t>
            </w:r>
            <w:r>
              <w:rPr>
                <w:rFonts w:ascii="Times New Roman" w:hAnsi="Times New Roman" w:eastAsia="仿宋_GB2312"/>
                <w:sz w:val="24"/>
              </w:rPr>
              <w:t>；</w:t>
            </w:r>
            <w:r>
              <w:rPr>
                <w:rFonts w:hint="eastAsia" w:ascii="Times New Roman" w:hAnsi="Times New Roman" w:eastAsia="仿宋_GB2312"/>
                <w:sz w:val="24"/>
              </w:rPr>
              <w:t>汨罗市白塘、营田镇、凤凰乡。</w:t>
            </w:r>
            <w:r>
              <w:rPr>
                <w:rFonts w:ascii="Times New Roman" w:hAnsi="Times New Roman" w:eastAsia="仿宋_GB2312"/>
                <w:sz w:val="24"/>
              </w:rPr>
              <w:t>112°36′～112°57′E，28°42′～29°1′N。</w:t>
            </w:r>
          </w:p>
        </w:tc>
        <w:tc>
          <w:tcPr>
            <w:tcW w:w="1134" w:type="dxa"/>
            <w:vAlign w:val="center"/>
          </w:tcPr>
          <w:p>
            <w:pPr>
              <w:spacing w:line="320" w:lineRule="exact"/>
              <w:ind w:right="-101" w:rightChars="-48"/>
              <w:jc w:val="left"/>
              <w:rPr>
                <w:rFonts w:ascii="Times New Roman" w:hAnsi="Times New Roman" w:eastAsia="仿宋_GB2312"/>
                <w:sz w:val="24"/>
              </w:rPr>
            </w:pPr>
            <w:r>
              <w:rPr>
                <w:rFonts w:ascii="Times New Roman" w:hAnsi="Times New Roman" w:eastAsia="仿宋_GB2312"/>
                <w:sz w:val="24"/>
              </w:rPr>
              <w:t>横岭湖湿地生态系统及濒危野生动植物</w:t>
            </w:r>
          </w:p>
        </w:tc>
        <w:tc>
          <w:tcPr>
            <w:tcW w:w="851" w:type="dxa"/>
            <w:vAlign w:val="center"/>
          </w:tcPr>
          <w:p>
            <w:pPr>
              <w:spacing w:line="320" w:lineRule="exact"/>
              <w:ind w:left="-88" w:leftChars="-42" w:right="-170" w:rightChars="-81"/>
              <w:jc w:val="left"/>
              <w:rPr>
                <w:rFonts w:ascii="Times New Roman" w:hAnsi="Times New Roman" w:eastAsia="仿宋_GB2312"/>
                <w:sz w:val="24"/>
              </w:rPr>
            </w:pPr>
            <w:r>
              <w:rPr>
                <w:rFonts w:ascii="Times New Roman" w:hAnsi="Times New Roman" w:eastAsia="仿宋_GB2312"/>
                <w:sz w:val="24"/>
              </w:rPr>
              <w:t>范围和</w:t>
            </w:r>
          </w:p>
          <w:p>
            <w:pPr>
              <w:spacing w:line="320" w:lineRule="exact"/>
              <w:ind w:left="-88" w:leftChars="-42" w:right="-170" w:rightChars="-81"/>
              <w:jc w:val="left"/>
              <w:rPr>
                <w:rFonts w:ascii="Times New Roman" w:hAnsi="Times New Roman" w:eastAsia="仿宋_GB2312"/>
                <w:sz w:val="24"/>
              </w:rPr>
            </w:pPr>
            <w:r>
              <w:rPr>
                <w:rFonts w:ascii="Times New Roman" w:hAnsi="Times New Roman" w:eastAsia="仿宋_GB2312"/>
                <w:sz w:val="24"/>
              </w:rPr>
              <w:t>功能区</w:t>
            </w:r>
          </w:p>
          <w:p>
            <w:pPr>
              <w:spacing w:line="320" w:lineRule="exact"/>
              <w:ind w:left="-88" w:leftChars="-42" w:right="-170" w:rightChars="-81"/>
              <w:jc w:val="left"/>
              <w:rPr>
                <w:rFonts w:ascii="Times New Roman" w:hAnsi="Times New Roman" w:eastAsia="仿宋_GB2312"/>
                <w:sz w:val="24"/>
              </w:rPr>
            </w:pPr>
            <w:r>
              <w:rPr>
                <w:rFonts w:ascii="Times New Roman" w:hAnsi="Times New Roman" w:eastAsia="仿宋_GB2312"/>
                <w:sz w:val="24"/>
              </w:rPr>
              <w:t>调整</w:t>
            </w:r>
          </w:p>
        </w:tc>
        <w:tc>
          <w:tcPr>
            <w:tcW w:w="5811" w:type="dxa"/>
            <w:vAlign w:val="top"/>
          </w:tcPr>
          <w:p>
            <w:pPr>
              <w:spacing w:line="320" w:lineRule="exact"/>
              <w:ind w:right="-101" w:rightChars="-48"/>
              <w:jc w:val="left"/>
              <w:rPr>
                <w:rFonts w:ascii="Times New Roman" w:hAnsi="Times New Roman" w:eastAsia="仿宋_GB2312"/>
                <w:sz w:val="24"/>
              </w:rPr>
            </w:pPr>
            <w:r>
              <w:rPr>
                <w:rFonts w:ascii="Times New Roman" w:hAnsi="Times New Roman" w:eastAsia="仿宋_GB2312"/>
                <w:sz w:val="24"/>
              </w:rPr>
              <w:t>首先是优化保护区范围，提高</w:t>
            </w:r>
            <w:r>
              <w:rPr>
                <w:rFonts w:hint="eastAsia" w:ascii="Times New Roman" w:hAnsi="Times New Roman" w:eastAsia="仿宋_GB2312"/>
                <w:sz w:val="24"/>
                <w:lang w:eastAsia="zh-CN"/>
              </w:rPr>
              <w:t>自然</w:t>
            </w:r>
            <w:r>
              <w:rPr>
                <w:rFonts w:ascii="Times New Roman" w:hAnsi="Times New Roman" w:eastAsia="仿宋_GB2312"/>
                <w:sz w:val="24"/>
              </w:rPr>
              <w:t>保护区有效管理的需要：横岭湖</w:t>
            </w:r>
            <w:r>
              <w:rPr>
                <w:rFonts w:hint="eastAsia" w:ascii="Times New Roman" w:hAnsi="Times New Roman" w:eastAsia="仿宋_GB2312"/>
                <w:sz w:val="24"/>
                <w:lang w:eastAsia="zh-CN"/>
              </w:rPr>
              <w:t>省级自然</w:t>
            </w:r>
            <w:r>
              <w:rPr>
                <w:rFonts w:ascii="Times New Roman" w:hAnsi="Times New Roman" w:eastAsia="仿宋_GB2312"/>
                <w:sz w:val="24"/>
              </w:rPr>
              <w:t>保护区</w:t>
            </w:r>
            <w:r>
              <w:rPr>
                <w:rFonts w:hint="eastAsia" w:ascii="Times New Roman" w:hAnsi="Times New Roman" w:eastAsia="仿宋_GB2312"/>
                <w:sz w:val="24"/>
              </w:rPr>
              <w:t>汨罗片区</w:t>
            </w:r>
            <w:r>
              <w:rPr>
                <w:rFonts w:ascii="Times New Roman" w:hAnsi="Times New Roman" w:eastAsia="仿宋_GB2312"/>
                <w:sz w:val="24"/>
              </w:rPr>
              <w:t>范围区划存在行政管辖权问题和</w:t>
            </w:r>
            <w:r>
              <w:rPr>
                <w:rFonts w:hint="eastAsia" w:ascii="Times New Roman" w:hAnsi="Times New Roman" w:eastAsia="仿宋_GB2312"/>
                <w:sz w:val="24"/>
              </w:rPr>
              <w:t>多个保护区交叉重叠</w:t>
            </w:r>
            <w:r>
              <w:rPr>
                <w:rFonts w:ascii="Times New Roman" w:hAnsi="Times New Roman" w:eastAsia="仿宋_GB2312"/>
                <w:sz w:val="24"/>
              </w:rPr>
              <w:t>两大主要问题；</w:t>
            </w:r>
          </w:p>
          <w:p>
            <w:pPr>
              <w:spacing w:line="320" w:lineRule="exact"/>
              <w:ind w:right="-101" w:rightChars="-48"/>
              <w:jc w:val="left"/>
              <w:rPr>
                <w:rFonts w:ascii="Times New Roman" w:hAnsi="Times New Roman" w:eastAsia="仿宋_GB2312"/>
                <w:sz w:val="24"/>
              </w:rPr>
            </w:pPr>
            <w:r>
              <w:rPr>
                <w:rFonts w:ascii="Times New Roman" w:hAnsi="Times New Roman" w:eastAsia="仿宋_GB2312"/>
                <w:sz w:val="24"/>
              </w:rPr>
              <w:t>其次是</w:t>
            </w:r>
            <w:r>
              <w:rPr>
                <w:rFonts w:hint="eastAsia" w:ascii="Times New Roman" w:hAnsi="Times New Roman" w:eastAsia="仿宋_GB2312"/>
                <w:sz w:val="24"/>
              </w:rPr>
              <w:t>对照整合优化预案和再完善预案成果，提前启动自然保护地调整，全面对接整合优化预案成果的需要</w:t>
            </w:r>
            <w:r>
              <w:rPr>
                <w:rFonts w:ascii="Times New Roman" w:hAnsi="Times New Roman" w:eastAsia="仿宋_GB2312"/>
                <w:sz w:val="24"/>
              </w:rPr>
              <w:t>。</w:t>
            </w:r>
          </w:p>
          <w:p>
            <w:pPr>
              <w:spacing w:line="320" w:lineRule="exact"/>
              <w:ind w:right="-101" w:rightChars="-48"/>
              <w:jc w:val="left"/>
              <w:rPr>
                <w:rFonts w:ascii="Times New Roman" w:hAnsi="Times New Roman" w:eastAsia="仿宋_GB2312"/>
                <w:sz w:val="24"/>
              </w:rPr>
            </w:pPr>
          </w:p>
          <w:p>
            <w:pPr>
              <w:spacing w:line="320" w:lineRule="exact"/>
              <w:ind w:right="-101" w:rightChars="-48"/>
              <w:jc w:val="left"/>
              <w:rPr>
                <w:rFonts w:hint="eastAsia" w:ascii="Times New Roman" w:hAnsi="Times New Roman" w:eastAsia="仿宋_GB2312"/>
                <w:sz w:val="24"/>
              </w:rPr>
            </w:pPr>
            <w:r>
              <w:rPr>
                <w:rFonts w:ascii="Times New Roman" w:hAnsi="Times New Roman" w:eastAsia="仿宋_GB2312"/>
                <w:sz w:val="24"/>
              </w:rPr>
              <w:t>依据</w:t>
            </w:r>
            <w:r>
              <w:rPr>
                <w:rFonts w:hint="eastAsia" w:ascii="Times New Roman" w:hAnsi="Times New Roman" w:eastAsia="仿宋_GB2312"/>
                <w:sz w:val="24"/>
              </w:rPr>
              <w:t>《关于建立以国家公园为主体的自然保护地体系的指导意见》</w:t>
            </w:r>
            <w:r>
              <w:rPr>
                <w:rFonts w:ascii="Times New Roman" w:hAnsi="Times New Roman" w:eastAsia="仿宋_GB2312"/>
                <w:sz w:val="24"/>
              </w:rPr>
              <w:t>的要求，</w:t>
            </w:r>
            <w:r>
              <w:rPr>
                <w:rFonts w:hint="eastAsia" w:ascii="Times New Roman" w:hAnsi="Times New Roman" w:eastAsia="仿宋_GB2312"/>
                <w:sz w:val="24"/>
              </w:rPr>
              <w:t>遵从保护面积不减少、保护强度不降低、保护性质不改变的总体要求，将</w:t>
            </w:r>
            <w:r>
              <w:rPr>
                <w:rFonts w:hint="eastAsia" w:ascii="Times New Roman" w:hAnsi="Times New Roman" w:eastAsia="仿宋_GB2312"/>
                <w:sz w:val="24"/>
                <w:lang w:eastAsia="zh-CN"/>
              </w:rPr>
              <w:t>汨罗</w:t>
            </w:r>
            <w:r>
              <w:rPr>
                <w:rFonts w:hint="eastAsia" w:ascii="Times New Roman" w:hAnsi="Times New Roman" w:eastAsia="仿宋_GB2312"/>
                <w:sz w:val="24"/>
              </w:rPr>
              <w:t>片区整合归并入湖南东洞庭湖国家级自然保护区和湖南汨罗江国家湿地公园范围</w:t>
            </w:r>
            <w:r>
              <w:rPr>
                <w:rFonts w:ascii="Times New Roman" w:hAnsi="Times New Roman" w:eastAsia="仿宋_GB2312"/>
                <w:sz w:val="24"/>
              </w:rPr>
              <w:t>。保护区范围和功能区调整后，权属更加清晰、管理职责进一步明确，</w:t>
            </w:r>
            <w:r>
              <w:rPr>
                <w:rFonts w:hint="eastAsia" w:ascii="Times New Roman" w:hAnsi="Times New Roman" w:eastAsia="仿宋_GB2312"/>
                <w:sz w:val="24"/>
              </w:rPr>
              <w:t>将提高保护区有效管理能力。</w:t>
            </w:r>
          </w:p>
        </w:tc>
        <w:tc>
          <w:tcPr>
            <w:tcW w:w="1843" w:type="dxa"/>
            <w:vAlign w:val="top"/>
          </w:tcPr>
          <w:p>
            <w:pPr>
              <w:spacing w:line="320" w:lineRule="exact"/>
              <w:jc w:val="left"/>
              <w:rPr>
                <w:rFonts w:ascii="Times New Roman" w:hAnsi="Times New Roman" w:eastAsia="仿宋_GB2312"/>
                <w:sz w:val="24"/>
              </w:rPr>
            </w:pPr>
            <w:r>
              <w:rPr>
                <w:rFonts w:ascii="Times New Roman" w:hAnsi="Times New Roman" w:eastAsia="仿宋_GB2312"/>
                <w:sz w:val="24"/>
              </w:rPr>
              <w:t>总面积</w:t>
            </w:r>
          </w:p>
          <w:p>
            <w:pPr>
              <w:spacing w:line="320" w:lineRule="exact"/>
              <w:jc w:val="left"/>
              <w:rPr>
                <w:rFonts w:ascii="Times New Roman" w:hAnsi="Times New Roman" w:eastAsia="仿宋_GB2312"/>
                <w:sz w:val="24"/>
              </w:rPr>
            </w:pPr>
            <w:r>
              <w:rPr>
                <w:rFonts w:ascii="Times New Roman" w:hAnsi="Times New Roman" w:eastAsia="仿宋_GB2312"/>
                <w:sz w:val="24"/>
              </w:rPr>
              <w:t>38741.25公顷</w:t>
            </w:r>
          </w:p>
          <w:p>
            <w:pPr>
              <w:spacing w:line="320" w:lineRule="exact"/>
              <w:jc w:val="left"/>
              <w:rPr>
                <w:rFonts w:ascii="Times New Roman" w:hAnsi="Times New Roman" w:eastAsia="仿宋_GB2312"/>
                <w:sz w:val="24"/>
              </w:rPr>
            </w:pPr>
            <w:r>
              <w:rPr>
                <w:rFonts w:ascii="Times New Roman" w:hAnsi="Times New Roman" w:eastAsia="仿宋_GB2312"/>
                <w:sz w:val="24"/>
              </w:rPr>
              <w:t>其中：</w:t>
            </w:r>
          </w:p>
          <w:p>
            <w:pPr>
              <w:spacing w:line="320" w:lineRule="exact"/>
              <w:jc w:val="left"/>
              <w:rPr>
                <w:rFonts w:ascii="Times New Roman" w:hAnsi="Times New Roman" w:eastAsia="仿宋_GB2312"/>
                <w:sz w:val="24"/>
              </w:rPr>
            </w:pPr>
            <w:r>
              <w:rPr>
                <w:rFonts w:ascii="Times New Roman" w:hAnsi="Times New Roman" w:eastAsia="仿宋_GB2312"/>
                <w:sz w:val="24"/>
              </w:rPr>
              <w:t>核心区面积14426.19公顷，</w:t>
            </w:r>
          </w:p>
          <w:p>
            <w:pPr>
              <w:spacing w:line="320" w:lineRule="exact"/>
              <w:jc w:val="left"/>
              <w:rPr>
                <w:rFonts w:ascii="Times New Roman" w:hAnsi="Times New Roman" w:eastAsia="仿宋_GB2312"/>
                <w:sz w:val="24"/>
              </w:rPr>
            </w:pPr>
            <w:r>
              <w:rPr>
                <w:rFonts w:ascii="Times New Roman" w:hAnsi="Times New Roman" w:eastAsia="仿宋_GB2312"/>
                <w:sz w:val="24"/>
              </w:rPr>
              <w:t>缓冲区面积11441.76公顷，</w:t>
            </w:r>
          </w:p>
          <w:p>
            <w:pPr>
              <w:spacing w:line="320" w:lineRule="exact"/>
              <w:jc w:val="left"/>
              <w:rPr>
                <w:rFonts w:ascii="Times New Roman" w:hAnsi="Times New Roman" w:eastAsia="仿宋_GB2312"/>
                <w:sz w:val="24"/>
              </w:rPr>
            </w:pPr>
            <w:r>
              <w:rPr>
                <w:rFonts w:ascii="Times New Roman" w:hAnsi="Times New Roman" w:eastAsia="仿宋_GB2312"/>
                <w:sz w:val="24"/>
              </w:rPr>
              <w:t>实验区面积12873.30公顷。</w:t>
            </w:r>
          </w:p>
          <w:p>
            <w:pPr>
              <w:spacing w:line="320" w:lineRule="exact"/>
              <w:jc w:val="left"/>
              <w:rPr>
                <w:rFonts w:hint="eastAsia" w:ascii="Times New Roman" w:hAnsi="Times New Roman" w:eastAsia="仿宋_GB2312"/>
                <w:sz w:val="24"/>
              </w:rPr>
            </w:pPr>
          </w:p>
        </w:tc>
        <w:tc>
          <w:tcPr>
            <w:tcW w:w="1860" w:type="dxa"/>
            <w:vAlign w:val="top"/>
          </w:tcPr>
          <w:p>
            <w:pPr>
              <w:spacing w:line="320" w:lineRule="exact"/>
              <w:jc w:val="left"/>
              <w:rPr>
                <w:rFonts w:ascii="Times New Roman" w:hAnsi="Times New Roman" w:eastAsia="仿宋_GB2312"/>
                <w:sz w:val="24"/>
              </w:rPr>
            </w:pPr>
            <w:r>
              <w:rPr>
                <w:rFonts w:ascii="Times New Roman" w:hAnsi="Times New Roman" w:eastAsia="仿宋_GB2312"/>
                <w:sz w:val="24"/>
              </w:rPr>
              <w:t>总面积</w:t>
            </w:r>
          </w:p>
          <w:p>
            <w:pPr>
              <w:spacing w:line="320" w:lineRule="exact"/>
              <w:jc w:val="left"/>
              <w:rPr>
                <w:rFonts w:ascii="Times New Roman" w:hAnsi="Times New Roman" w:eastAsia="仿宋_GB2312"/>
                <w:sz w:val="24"/>
              </w:rPr>
            </w:pPr>
            <w:r>
              <w:rPr>
                <w:rFonts w:ascii="Times New Roman" w:hAnsi="Times New Roman" w:eastAsia="仿宋_GB2312"/>
                <w:sz w:val="24"/>
              </w:rPr>
              <w:t>37168.03公顷</w:t>
            </w:r>
          </w:p>
          <w:p>
            <w:pPr>
              <w:spacing w:line="320" w:lineRule="exact"/>
              <w:jc w:val="left"/>
              <w:rPr>
                <w:rFonts w:ascii="Times New Roman" w:hAnsi="Times New Roman" w:eastAsia="仿宋_GB2312"/>
                <w:sz w:val="24"/>
              </w:rPr>
            </w:pPr>
            <w:r>
              <w:rPr>
                <w:rFonts w:ascii="Times New Roman" w:hAnsi="Times New Roman" w:eastAsia="仿宋_GB2312"/>
                <w:sz w:val="24"/>
              </w:rPr>
              <w:t>其中：</w:t>
            </w:r>
          </w:p>
          <w:p>
            <w:pPr>
              <w:spacing w:line="320" w:lineRule="exact"/>
              <w:jc w:val="left"/>
              <w:rPr>
                <w:rFonts w:ascii="Times New Roman" w:hAnsi="Times New Roman" w:eastAsia="仿宋_GB2312"/>
                <w:sz w:val="24"/>
              </w:rPr>
            </w:pPr>
            <w:r>
              <w:rPr>
                <w:rFonts w:ascii="Times New Roman" w:hAnsi="Times New Roman" w:eastAsia="仿宋_GB2312"/>
                <w:sz w:val="24"/>
              </w:rPr>
              <w:t>核心区面积14426.19公顷，</w:t>
            </w:r>
          </w:p>
          <w:p>
            <w:pPr>
              <w:spacing w:line="320" w:lineRule="exact"/>
              <w:jc w:val="left"/>
              <w:rPr>
                <w:rFonts w:ascii="Times New Roman" w:hAnsi="Times New Roman" w:eastAsia="仿宋_GB2312"/>
                <w:sz w:val="24"/>
              </w:rPr>
            </w:pPr>
            <w:r>
              <w:rPr>
                <w:rFonts w:ascii="Times New Roman" w:hAnsi="Times New Roman" w:eastAsia="仿宋_GB2312"/>
                <w:sz w:val="24"/>
              </w:rPr>
              <w:t>缓冲区面积11441.76公顷，</w:t>
            </w:r>
          </w:p>
          <w:p>
            <w:pPr>
              <w:spacing w:line="320" w:lineRule="exact"/>
              <w:jc w:val="left"/>
              <w:rPr>
                <w:rFonts w:ascii="Times New Roman" w:hAnsi="Times New Roman" w:eastAsia="仿宋_GB2312"/>
                <w:sz w:val="24"/>
              </w:rPr>
            </w:pPr>
            <w:r>
              <w:rPr>
                <w:rFonts w:ascii="Times New Roman" w:hAnsi="Times New Roman" w:eastAsia="仿宋_GB2312"/>
                <w:sz w:val="24"/>
              </w:rPr>
              <w:t>实验区面积11300.08公顷。</w:t>
            </w:r>
          </w:p>
          <w:p>
            <w:pPr>
              <w:spacing w:line="320" w:lineRule="exact"/>
              <w:jc w:val="left"/>
              <w:rPr>
                <w:rFonts w:ascii="Times New Roman" w:hAnsi="Times New Roman" w:eastAsia="仿宋_GB2312"/>
                <w:sz w:val="24"/>
              </w:rPr>
            </w:pPr>
          </w:p>
        </w:tc>
      </w:tr>
    </w:tbl>
    <w:p>
      <w:pPr>
        <w:rPr>
          <w:rFonts w:ascii="Times New Roman" w:hAnsi="Times New Roma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北魏楷书简体">
    <w:panose1 w:val="03000509000000000000"/>
    <w:charset w:val="86"/>
    <w:family w:val="script"/>
    <w:pitch w:val="default"/>
    <w:sig w:usb0="00000001" w:usb1="080E0000" w:usb2="00000000" w:usb3="00000000" w:csb0="00040000" w:csb1="00000000"/>
  </w:font>
  <w:font w:name="Luxi Sans">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大标宋简体">
    <w:panose1 w:val="03000509000000000000"/>
    <w:charset w:val="86"/>
    <w:family w:val="script"/>
    <w:pitch w:val="default"/>
    <w:sig w:usb0="00000001" w:usb1="080E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B63E5"/>
    <w:rsid w:val="1AFC167D"/>
    <w:rsid w:val="361445EA"/>
    <w:rsid w:val="3C2E00DF"/>
    <w:rsid w:val="40215E14"/>
    <w:rsid w:val="4A936FEF"/>
    <w:rsid w:val="63F3210E"/>
    <w:rsid w:val="6F895C6C"/>
    <w:rsid w:val="75A258C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2021-08-05T02:52:00Z</dcterms:created>
  <dc:creator>Administrator</dc:creator>
  <cp:lastModifiedBy>董帅昌</cp:lastModifiedBy>
  <dcterms:modified xsi:type="dcterms:W3CDTF">2022-09-28T00:47:36Z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4FE6B83077D54510B320CD67269294DD</vt:lpwstr>
  </property>
</Properties>
</file>