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default" w:ascii="Times New Roman" w:hAnsi="Times New Roman" w:cs="Times New Roman"/>
          <w:color w:val="auto"/>
          <w:sz w:val="56"/>
          <w:szCs w:val="56"/>
        </w:rPr>
      </w:pPr>
    </w:p>
    <w:p>
      <w:pPr>
        <w:pStyle w:val="13"/>
        <w:jc w:val="center"/>
        <w:rPr>
          <w:rFonts w:hint="default" w:ascii="Times New Roman" w:hAnsi="Times New Roman" w:cs="Times New Roman"/>
          <w:color w:val="auto"/>
          <w:sz w:val="56"/>
          <w:szCs w:val="56"/>
        </w:rPr>
      </w:pPr>
    </w:p>
    <w:p>
      <w:pPr>
        <w:pStyle w:val="13"/>
        <w:jc w:val="center"/>
        <w:rPr>
          <w:rFonts w:hint="default" w:ascii="Times New Roman" w:hAnsi="Times New Roman" w:cs="Times New Roman"/>
          <w:color w:val="auto"/>
          <w:sz w:val="84"/>
          <w:szCs w:val="84"/>
        </w:rPr>
      </w:pPr>
    </w:p>
    <w:p>
      <w:pPr>
        <w:pStyle w:val="13"/>
        <w:jc w:val="center"/>
        <w:rPr>
          <w:rFonts w:hint="default" w:ascii="Times New Roman" w:hAnsi="Times New Roman" w:cs="Times New Roman"/>
          <w:color w:val="auto"/>
          <w:sz w:val="84"/>
          <w:szCs w:val="84"/>
        </w:rPr>
      </w:pPr>
    </w:p>
    <w:p>
      <w:pPr>
        <w:pStyle w:val="13"/>
        <w:jc w:val="center"/>
        <w:rPr>
          <w:rFonts w:hint="default" w:ascii="Times New Roman" w:hAnsi="Times New Roman" w:cs="Times New Roman"/>
          <w:color w:val="auto"/>
          <w:sz w:val="52"/>
          <w:szCs w:val="52"/>
        </w:rPr>
      </w:pPr>
      <w:r>
        <w:rPr>
          <w:rFonts w:hint="default" w:ascii="Times New Roman" w:hAnsi="Times New Roman" w:cs="Times New Roman"/>
          <w:color w:val="auto"/>
          <w:sz w:val="52"/>
          <w:szCs w:val="52"/>
        </w:rPr>
        <w:t>2021年度</w:t>
      </w:r>
    </w:p>
    <w:p>
      <w:pPr>
        <w:pStyle w:val="13"/>
        <w:jc w:val="center"/>
        <w:rPr>
          <w:rFonts w:hint="default" w:ascii="Times New Roman" w:hAnsi="Times New Roman" w:cs="Times New Roman"/>
          <w:color w:val="auto"/>
          <w:sz w:val="52"/>
          <w:szCs w:val="52"/>
        </w:rPr>
      </w:pPr>
      <w:r>
        <w:rPr>
          <w:rFonts w:hint="default" w:ascii="Times New Roman" w:hAnsi="Times New Roman" w:cs="Times New Roman"/>
          <w:color w:val="auto"/>
          <w:sz w:val="52"/>
          <w:szCs w:val="52"/>
        </w:rPr>
        <w:t>湖南省农林工业勘察设计研究总院</w:t>
      </w:r>
    </w:p>
    <w:p>
      <w:pPr>
        <w:pStyle w:val="13"/>
        <w:jc w:val="center"/>
        <w:rPr>
          <w:rFonts w:hint="default" w:ascii="Times New Roman" w:hAnsi="Times New Roman" w:cs="Times New Roman"/>
          <w:color w:val="auto"/>
          <w:sz w:val="52"/>
          <w:szCs w:val="52"/>
        </w:rPr>
      </w:pPr>
      <w:r>
        <w:rPr>
          <w:rFonts w:hint="default" w:ascii="Times New Roman" w:hAnsi="Times New Roman" w:cs="Times New Roman"/>
          <w:color w:val="auto"/>
          <w:sz w:val="52"/>
          <w:szCs w:val="52"/>
        </w:rPr>
        <w:t>单位决算</w:t>
      </w:r>
    </w:p>
    <w:p>
      <w:pPr>
        <w:pStyle w:val="13"/>
        <w:jc w:val="center"/>
        <w:rPr>
          <w:rFonts w:hint="default" w:ascii="Times New Roman" w:hAnsi="Times New Roman" w:cs="Times New Roman"/>
          <w:color w:val="auto"/>
          <w:sz w:val="56"/>
          <w:szCs w:val="56"/>
        </w:rPr>
      </w:pPr>
    </w:p>
    <w:p>
      <w:pPr>
        <w:pStyle w:val="13"/>
        <w:jc w:val="center"/>
        <w:rPr>
          <w:rFonts w:hint="default" w:ascii="Times New Roman" w:hAnsi="Times New Roman" w:cs="Times New Roman"/>
          <w:color w:val="auto"/>
          <w:sz w:val="56"/>
          <w:szCs w:val="56"/>
        </w:rPr>
      </w:pPr>
    </w:p>
    <w:p>
      <w:pPr>
        <w:pStyle w:val="13"/>
        <w:jc w:val="center"/>
        <w:rPr>
          <w:rFonts w:hint="default" w:ascii="Times New Roman" w:hAnsi="Times New Roman" w:cs="Times New Roman"/>
          <w:color w:val="auto"/>
          <w:sz w:val="56"/>
          <w:szCs w:val="56"/>
        </w:rPr>
      </w:pPr>
    </w:p>
    <w:p>
      <w:pPr>
        <w:pStyle w:val="13"/>
        <w:jc w:val="center"/>
        <w:rPr>
          <w:rFonts w:hint="default" w:ascii="Times New Roman" w:hAnsi="Times New Roman" w:cs="Times New Roman"/>
          <w:color w:val="auto"/>
          <w:sz w:val="56"/>
          <w:szCs w:val="56"/>
        </w:rPr>
      </w:pPr>
    </w:p>
    <w:p>
      <w:pPr>
        <w:pStyle w:val="13"/>
        <w:jc w:val="center"/>
        <w:rPr>
          <w:rFonts w:hint="default" w:ascii="Times New Roman" w:hAnsi="Times New Roman" w:cs="Times New Roman"/>
          <w:color w:val="auto"/>
          <w:sz w:val="32"/>
          <w:szCs w:val="32"/>
        </w:rPr>
      </w:pPr>
    </w:p>
    <w:p>
      <w:pPr>
        <w:pStyle w:val="13"/>
        <w:jc w:val="center"/>
        <w:rPr>
          <w:rFonts w:hint="default" w:ascii="Times New Roman" w:hAnsi="Times New Roman" w:cs="Times New Roman"/>
          <w:color w:val="auto"/>
          <w:sz w:val="32"/>
          <w:szCs w:val="32"/>
        </w:rPr>
      </w:pPr>
    </w:p>
    <w:p>
      <w:pPr>
        <w:pStyle w:val="13"/>
        <w:jc w:val="center"/>
        <w:rPr>
          <w:rFonts w:hint="default" w:ascii="Times New Roman" w:hAnsi="Times New Roman" w:cs="Times New Roman"/>
          <w:color w:val="auto"/>
          <w:sz w:val="32"/>
          <w:szCs w:val="32"/>
        </w:rPr>
      </w:pPr>
    </w:p>
    <w:p>
      <w:pPr>
        <w:pStyle w:val="13"/>
        <w:jc w:val="center"/>
        <w:rPr>
          <w:rFonts w:hint="default" w:ascii="Times New Roman" w:hAnsi="Times New Roman" w:cs="Times New Roman"/>
          <w:color w:val="auto"/>
          <w:sz w:val="32"/>
          <w:szCs w:val="32"/>
        </w:rPr>
      </w:pPr>
    </w:p>
    <w:p>
      <w:pPr>
        <w:pStyle w:val="13"/>
        <w:spacing w:line="540" w:lineRule="exact"/>
        <w:jc w:val="center"/>
        <w:rPr>
          <w:rFonts w:hint="default" w:ascii="Times New Roman" w:hAnsi="Times New Roman" w:cs="Times New Roman"/>
          <w:color w:val="auto"/>
          <w:sz w:val="56"/>
          <w:szCs w:val="56"/>
        </w:rPr>
      </w:pPr>
    </w:p>
    <w:p>
      <w:pPr>
        <w:pStyle w:val="13"/>
        <w:spacing w:line="500" w:lineRule="exact"/>
        <w:jc w:val="center"/>
        <w:rPr>
          <w:rFonts w:hint="default" w:ascii="Times New Roman" w:hAnsi="Times New Roman" w:cs="Times New Roman"/>
          <w:b/>
          <w:color w:val="auto"/>
          <w:sz w:val="36"/>
          <w:szCs w:val="28"/>
        </w:rPr>
      </w:pPr>
    </w:p>
    <w:p>
      <w:pPr>
        <w:pStyle w:val="13"/>
        <w:spacing w:line="500" w:lineRule="exact"/>
        <w:jc w:val="center"/>
        <w:rPr>
          <w:rFonts w:hint="default" w:ascii="Times New Roman" w:hAnsi="Times New Roman" w:cs="Times New Roman"/>
          <w:b/>
          <w:color w:val="auto"/>
          <w:sz w:val="36"/>
          <w:szCs w:val="28"/>
        </w:rPr>
      </w:pPr>
    </w:p>
    <w:p>
      <w:pPr>
        <w:pStyle w:val="13"/>
        <w:spacing w:line="500" w:lineRule="exact"/>
        <w:jc w:val="center"/>
        <w:rPr>
          <w:rFonts w:hint="default" w:ascii="Times New Roman" w:hAnsi="Times New Roman" w:cs="Times New Roman"/>
          <w:b/>
          <w:color w:val="auto"/>
          <w:sz w:val="36"/>
          <w:szCs w:val="28"/>
        </w:rPr>
      </w:pPr>
      <w:r>
        <w:rPr>
          <w:rFonts w:hint="default" w:ascii="Times New Roman" w:hAnsi="Times New Roman" w:cs="Times New Roman"/>
          <w:b/>
          <w:color w:val="auto"/>
          <w:sz w:val="36"/>
          <w:szCs w:val="28"/>
        </w:rPr>
        <w:t>目录</w:t>
      </w:r>
    </w:p>
    <w:p>
      <w:pPr>
        <w:pStyle w:val="13"/>
        <w:spacing w:line="500" w:lineRule="exact"/>
        <w:ind w:firstLine="562" w:firstLineChars="20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第一部分湖南省农林工业勘察设计研究总院概况</w:t>
      </w:r>
    </w:p>
    <w:p>
      <w:pPr>
        <w:pStyle w:val="13"/>
        <w:spacing w:line="500" w:lineRule="exact"/>
        <w:ind w:firstLine="700"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一、部门职责</w:t>
      </w:r>
    </w:p>
    <w:p>
      <w:pPr>
        <w:pStyle w:val="13"/>
        <w:spacing w:line="500" w:lineRule="exact"/>
        <w:ind w:firstLine="700"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二、机构设置</w:t>
      </w:r>
    </w:p>
    <w:p>
      <w:pPr>
        <w:pStyle w:val="13"/>
        <w:spacing w:line="500" w:lineRule="exact"/>
        <w:ind w:firstLine="562" w:firstLineChars="20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第二部分2021年度单位决算表</w:t>
      </w:r>
    </w:p>
    <w:p>
      <w:pPr>
        <w:pStyle w:val="13"/>
        <w:spacing w:line="500" w:lineRule="exact"/>
        <w:ind w:firstLine="700"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一、收入支出决算总表</w:t>
      </w:r>
    </w:p>
    <w:p>
      <w:pPr>
        <w:pStyle w:val="13"/>
        <w:spacing w:line="500" w:lineRule="exact"/>
        <w:ind w:firstLine="700"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二、收入决算表</w:t>
      </w:r>
    </w:p>
    <w:p>
      <w:pPr>
        <w:pStyle w:val="13"/>
        <w:spacing w:line="500" w:lineRule="exact"/>
        <w:ind w:firstLine="700"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三、支出决算表</w:t>
      </w:r>
    </w:p>
    <w:p>
      <w:pPr>
        <w:pStyle w:val="13"/>
        <w:spacing w:line="500" w:lineRule="exact"/>
        <w:ind w:firstLine="700"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四、财政拨款收入支出决算总表</w:t>
      </w:r>
    </w:p>
    <w:p>
      <w:pPr>
        <w:pStyle w:val="13"/>
        <w:spacing w:line="500" w:lineRule="exact"/>
        <w:ind w:firstLine="700"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五、一般公共预算财政拨款支出决算表</w:t>
      </w:r>
    </w:p>
    <w:p>
      <w:pPr>
        <w:pStyle w:val="13"/>
        <w:spacing w:line="500" w:lineRule="exact"/>
        <w:ind w:firstLine="700"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六、一般公共预算财政拨款基本支出决算明细表</w:t>
      </w:r>
    </w:p>
    <w:p>
      <w:pPr>
        <w:pStyle w:val="13"/>
        <w:spacing w:line="500" w:lineRule="exact"/>
        <w:ind w:firstLine="700"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七、一般公共预算财政拨款“三公”经费支出决算表</w:t>
      </w:r>
    </w:p>
    <w:p>
      <w:pPr>
        <w:pStyle w:val="13"/>
        <w:spacing w:line="500" w:lineRule="exact"/>
        <w:ind w:firstLine="700"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八、政府性基金预算财政拨款收入支出决算表</w:t>
      </w:r>
    </w:p>
    <w:p>
      <w:pPr>
        <w:pStyle w:val="13"/>
        <w:spacing w:line="500" w:lineRule="exact"/>
        <w:ind w:firstLine="700"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九、国有资本经营预算财政拨款支出决算表</w:t>
      </w:r>
    </w:p>
    <w:p>
      <w:pPr>
        <w:pStyle w:val="13"/>
        <w:spacing w:line="500" w:lineRule="exact"/>
        <w:ind w:firstLine="562" w:firstLineChars="20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第三部分2021年度单位决算情况说明</w:t>
      </w:r>
    </w:p>
    <w:p>
      <w:pPr>
        <w:pStyle w:val="13"/>
        <w:spacing w:line="500" w:lineRule="exact"/>
        <w:ind w:firstLine="700"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一、收入支出决算总体情况说明</w:t>
      </w:r>
    </w:p>
    <w:p>
      <w:pPr>
        <w:spacing w:line="500" w:lineRule="exact"/>
        <w:ind w:firstLine="700" w:firstLineChars="25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二、收入决算情况说明</w:t>
      </w:r>
    </w:p>
    <w:p>
      <w:pPr>
        <w:autoSpaceDE w:val="0"/>
        <w:autoSpaceDN w:val="0"/>
        <w:adjustRightInd w:val="0"/>
        <w:spacing w:line="500" w:lineRule="exact"/>
        <w:ind w:firstLine="700"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三、支出决算情况说明</w:t>
      </w:r>
    </w:p>
    <w:p>
      <w:pPr>
        <w:autoSpaceDE w:val="0"/>
        <w:autoSpaceDN w:val="0"/>
        <w:adjustRightInd w:val="0"/>
        <w:spacing w:line="500" w:lineRule="exact"/>
        <w:ind w:firstLine="700"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四、财政拨款收入支出决算总体情况说明</w:t>
      </w:r>
    </w:p>
    <w:p>
      <w:pPr>
        <w:autoSpaceDE w:val="0"/>
        <w:autoSpaceDN w:val="0"/>
        <w:adjustRightInd w:val="0"/>
        <w:spacing w:line="500" w:lineRule="exact"/>
        <w:ind w:firstLine="700"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八、政府性基金预算收入支出决算情况</w:t>
      </w:r>
    </w:p>
    <w:p>
      <w:pPr>
        <w:autoSpaceDE w:val="0"/>
        <w:autoSpaceDN w:val="0"/>
        <w:adjustRightInd w:val="0"/>
        <w:spacing w:line="500" w:lineRule="exact"/>
        <w:ind w:firstLine="700"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九、机关运行经费支出说明</w:t>
      </w:r>
    </w:p>
    <w:p>
      <w:pPr>
        <w:autoSpaceDE w:val="0"/>
        <w:autoSpaceDN w:val="0"/>
        <w:adjustRightInd w:val="0"/>
        <w:spacing w:line="500" w:lineRule="exact"/>
        <w:ind w:firstLine="700"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十、一般性支出情况说明</w:t>
      </w:r>
    </w:p>
    <w:p>
      <w:pPr>
        <w:autoSpaceDE w:val="0"/>
        <w:autoSpaceDN w:val="0"/>
        <w:adjustRightInd w:val="0"/>
        <w:spacing w:line="500" w:lineRule="exact"/>
        <w:ind w:firstLine="700"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十一、政府采购支出说明</w:t>
      </w:r>
    </w:p>
    <w:p>
      <w:pPr>
        <w:pStyle w:val="13"/>
        <w:spacing w:line="500" w:lineRule="exact"/>
        <w:ind w:firstLine="700"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十二、国有资产占用情况说明</w:t>
      </w:r>
    </w:p>
    <w:p>
      <w:pPr>
        <w:pStyle w:val="13"/>
        <w:spacing w:line="500" w:lineRule="exact"/>
        <w:ind w:firstLine="700"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十三、2021年度预算绩效情况说明</w:t>
      </w:r>
    </w:p>
    <w:p>
      <w:pPr>
        <w:autoSpaceDE w:val="0"/>
        <w:autoSpaceDN w:val="0"/>
        <w:adjustRightInd w:val="0"/>
        <w:spacing w:line="500" w:lineRule="exact"/>
        <w:ind w:firstLine="562" w:firstLineChars="200"/>
        <w:jc w:val="left"/>
        <w:rPr>
          <w:rFonts w:hint="default" w:ascii="Times New Roman" w:hAnsi="Times New Roman" w:eastAsia="黑体" w:cs="Times New Roman"/>
          <w:b/>
          <w:color w:val="auto"/>
          <w:kern w:val="0"/>
          <w:sz w:val="28"/>
          <w:szCs w:val="28"/>
        </w:rPr>
      </w:pPr>
      <w:r>
        <w:rPr>
          <w:rFonts w:hint="default" w:ascii="Times New Roman" w:hAnsi="Times New Roman" w:eastAsia="黑体" w:cs="Times New Roman"/>
          <w:b/>
          <w:color w:val="auto"/>
          <w:kern w:val="0"/>
          <w:sz w:val="28"/>
          <w:szCs w:val="28"/>
        </w:rPr>
        <w:t>第四部分名词解释</w:t>
      </w:r>
    </w:p>
    <w:p>
      <w:pPr>
        <w:autoSpaceDE w:val="0"/>
        <w:autoSpaceDN w:val="0"/>
        <w:adjustRightInd w:val="0"/>
        <w:spacing w:line="500" w:lineRule="exact"/>
        <w:ind w:firstLine="562" w:firstLineChars="200"/>
        <w:jc w:val="left"/>
        <w:rPr>
          <w:rFonts w:hint="default" w:ascii="Times New Roman" w:hAnsi="Times New Roman" w:eastAsia="黑体" w:cs="Times New Roman"/>
          <w:b/>
          <w:color w:val="auto"/>
          <w:kern w:val="0"/>
          <w:sz w:val="28"/>
          <w:szCs w:val="28"/>
        </w:rPr>
      </w:pPr>
      <w:r>
        <w:rPr>
          <w:rFonts w:hint="default" w:ascii="Times New Roman" w:hAnsi="Times New Roman" w:eastAsia="黑体" w:cs="Times New Roman"/>
          <w:b/>
          <w:color w:val="auto"/>
          <w:kern w:val="0"/>
          <w:sz w:val="28"/>
          <w:szCs w:val="28"/>
        </w:rPr>
        <w:t>第五部分附件</w:t>
      </w:r>
    </w:p>
    <w:p>
      <w:pPr>
        <w:jc w:val="center"/>
        <w:rPr>
          <w:rFonts w:hint="default" w:ascii="Times New Roman" w:hAnsi="Times New Roman" w:cs="Times New Roman"/>
          <w:color w:val="auto"/>
          <w:sz w:val="72"/>
          <w:szCs w:val="72"/>
        </w:rPr>
      </w:pPr>
    </w:p>
    <w:p>
      <w:pPr>
        <w:jc w:val="center"/>
        <w:rPr>
          <w:rFonts w:hint="default" w:ascii="Times New Roman" w:hAnsi="Times New Roman" w:cs="Times New Roman"/>
          <w:color w:val="auto"/>
          <w:sz w:val="72"/>
          <w:szCs w:val="72"/>
        </w:rPr>
      </w:pPr>
    </w:p>
    <w:p>
      <w:pPr>
        <w:jc w:val="center"/>
        <w:rPr>
          <w:rFonts w:hint="default" w:ascii="Times New Roman" w:hAnsi="Times New Roman" w:cs="Times New Roman"/>
          <w:color w:val="auto"/>
          <w:sz w:val="72"/>
          <w:szCs w:val="72"/>
        </w:rPr>
      </w:pPr>
    </w:p>
    <w:p>
      <w:pPr>
        <w:jc w:val="center"/>
        <w:rPr>
          <w:rFonts w:hint="default" w:ascii="Times New Roman" w:hAnsi="Times New Roman" w:cs="Times New Roman"/>
          <w:color w:val="auto"/>
          <w:sz w:val="72"/>
          <w:szCs w:val="72"/>
        </w:rPr>
      </w:pPr>
    </w:p>
    <w:p>
      <w:pP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52"/>
          <w:szCs w:val="52"/>
        </w:rPr>
      </w:pPr>
      <w:r>
        <w:rPr>
          <w:rFonts w:hint="default" w:ascii="Times New Roman" w:hAnsi="Times New Roman" w:cs="Times New Roman"/>
          <w:color w:val="auto"/>
          <w:sz w:val="52"/>
          <w:szCs w:val="52"/>
        </w:rPr>
        <w:t xml:space="preserve">第一部分 </w:t>
      </w:r>
    </w:p>
    <w:p>
      <w:pPr>
        <w:pStyle w:val="13"/>
        <w:jc w:val="center"/>
        <w:rPr>
          <w:rFonts w:hint="default" w:ascii="Times New Roman" w:hAnsi="Times New Roman" w:cs="Times New Roman"/>
          <w:color w:val="auto"/>
          <w:sz w:val="52"/>
          <w:szCs w:val="52"/>
        </w:rPr>
      </w:pPr>
    </w:p>
    <w:p>
      <w:pPr>
        <w:pStyle w:val="13"/>
        <w:jc w:val="center"/>
        <w:rPr>
          <w:rFonts w:hint="default" w:ascii="Times New Roman" w:hAnsi="Times New Roman" w:cs="Times New Roman"/>
          <w:color w:val="auto"/>
          <w:sz w:val="52"/>
          <w:szCs w:val="52"/>
        </w:rPr>
      </w:pPr>
      <w:r>
        <w:rPr>
          <w:rFonts w:hint="default" w:ascii="Times New Roman" w:hAnsi="Times New Roman" w:cs="Times New Roman"/>
          <w:color w:val="auto"/>
          <w:sz w:val="52"/>
          <w:szCs w:val="52"/>
        </w:rPr>
        <w:t>湖南省农林工业勘察设计研究总院</w:t>
      </w:r>
    </w:p>
    <w:p>
      <w:pPr>
        <w:pStyle w:val="13"/>
        <w:jc w:val="center"/>
        <w:rPr>
          <w:rFonts w:hint="default" w:ascii="Times New Roman" w:hAnsi="Times New Roman" w:cs="Times New Roman"/>
          <w:color w:val="auto"/>
          <w:sz w:val="52"/>
          <w:szCs w:val="52"/>
        </w:rPr>
      </w:pPr>
      <w:r>
        <w:rPr>
          <w:rFonts w:hint="default" w:ascii="Times New Roman" w:hAnsi="Times New Roman" w:cs="Times New Roman"/>
          <w:color w:val="auto"/>
          <w:sz w:val="52"/>
          <w:szCs w:val="52"/>
        </w:rPr>
        <w:t>概况</w:t>
      </w:r>
    </w:p>
    <w:p>
      <w:pPr>
        <w:jc w:val="center"/>
        <w:rPr>
          <w:rFonts w:hint="default" w:ascii="Times New Roman" w:hAnsi="Times New Roman" w:cs="Times New Roman"/>
          <w:color w:val="auto"/>
          <w:sz w:val="72"/>
          <w:szCs w:val="72"/>
        </w:rPr>
      </w:pPr>
    </w:p>
    <w:p>
      <w:pPr>
        <w:jc w:val="center"/>
        <w:rPr>
          <w:rFonts w:hint="default" w:ascii="Times New Roman" w:hAnsi="Times New Roman" w:cs="Times New Roman"/>
          <w:color w:val="auto"/>
          <w:sz w:val="72"/>
          <w:szCs w:val="72"/>
        </w:rPr>
      </w:pPr>
    </w:p>
    <w:p>
      <w:pPr>
        <w:jc w:val="center"/>
        <w:rPr>
          <w:rFonts w:hint="default" w:ascii="Times New Roman" w:hAnsi="Times New Roman" w:cs="Times New Roman"/>
          <w:color w:val="auto"/>
          <w:sz w:val="72"/>
          <w:szCs w:val="72"/>
        </w:rPr>
      </w:pPr>
    </w:p>
    <w:p>
      <w:pPr>
        <w:jc w:val="center"/>
        <w:rPr>
          <w:rFonts w:hint="default" w:ascii="Times New Roman" w:hAnsi="Times New Roman" w:cs="Times New Roman"/>
          <w:color w:val="auto"/>
          <w:sz w:val="72"/>
          <w:szCs w:val="72"/>
        </w:rPr>
      </w:pPr>
    </w:p>
    <w:p>
      <w:pPr>
        <w:jc w:val="center"/>
        <w:rPr>
          <w:rFonts w:hint="default" w:ascii="Times New Roman" w:hAnsi="Times New Roman" w:cs="Times New Roman"/>
          <w:color w:val="auto"/>
          <w:sz w:val="72"/>
          <w:szCs w:val="72"/>
        </w:rPr>
      </w:pPr>
    </w:p>
    <w:p>
      <w:pPr>
        <w:jc w:val="center"/>
        <w:rPr>
          <w:rFonts w:hint="default" w:ascii="Times New Roman" w:hAnsi="Times New Roman" w:cs="Times New Roman"/>
          <w:color w:val="auto"/>
          <w:sz w:val="72"/>
          <w:szCs w:val="72"/>
        </w:rPr>
      </w:pPr>
    </w:p>
    <w:p>
      <w:pPr>
        <w:pStyle w:val="14"/>
        <w:ind w:left="720" w:firstLine="0" w:firstLineChars="0"/>
        <w:jc w:val="left"/>
        <w:rPr>
          <w:rFonts w:hint="default" w:ascii="Times New Roman" w:hAnsi="Times New Roman" w:eastAsia="黑体" w:cs="Times New Roman"/>
          <w:color w:val="auto"/>
          <w:sz w:val="32"/>
          <w:szCs w:val="32"/>
        </w:rPr>
      </w:pPr>
    </w:p>
    <w:p>
      <w:pPr>
        <w:pStyle w:val="14"/>
        <w:ind w:left="720" w:firstLine="0" w:firstLineChars="0"/>
        <w:jc w:val="left"/>
        <w:rPr>
          <w:rFonts w:hint="default" w:ascii="Times New Roman" w:hAnsi="Times New Roman" w:eastAsia="黑体" w:cs="Times New Roman"/>
          <w:color w:val="auto"/>
          <w:sz w:val="32"/>
          <w:szCs w:val="32"/>
        </w:rPr>
      </w:pPr>
    </w:p>
    <w:p>
      <w:pPr>
        <w:pStyle w:val="14"/>
        <w:ind w:firstLine="640"/>
        <w:jc w:val="lef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一、部门职责</w:t>
      </w:r>
    </w:p>
    <w:p>
      <w:pPr>
        <w:widowControl/>
        <w:spacing w:line="60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湖南省农林工业勘察设计研究总院（简称湖南林勘院）为差额拨款预算单位。2011年,先后加挂湖南省森林资源与生态环境监测中心、中部林业产权交易服务中心,兼管湖南省民用枪支弹药调拨管理中心。勘察设计主业以林业、农业为主,遍及工业、建筑、交通、市政、园林、景观等多个行业与领域,涉及策划、咨询、规划、勘测、设计、监理、工程总承包等多个业务阶段,形成了全过程工程咨询、工程总承包两个业务方向;林业和自然资源、农业和乡村振兴、生态工程建设三大业务板块。</w:t>
      </w:r>
    </w:p>
    <w:p>
      <w:pPr>
        <w:widowControl/>
        <w:spacing w:line="600" w:lineRule="exact"/>
        <w:ind w:firstLine="640" w:firstLineChars="200"/>
        <w:rPr>
          <w:rFonts w:hint="default" w:ascii="Times New Roman" w:hAnsi="Times New Roman" w:eastAsia="方正黑体_GBK" w:cs="Times New Roman"/>
          <w:bCs/>
          <w:color w:val="auto"/>
          <w:kern w:val="0"/>
          <w:sz w:val="32"/>
          <w:szCs w:val="32"/>
        </w:rPr>
      </w:pPr>
      <w:r>
        <w:rPr>
          <w:rFonts w:hint="default" w:ascii="Times New Roman" w:hAnsi="Times New Roman" w:eastAsia="方正黑体_GBK" w:cs="Times New Roman"/>
          <w:bCs/>
          <w:color w:val="auto"/>
          <w:kern w:val="0"/>
          <w:sz w:val="32"/>
          <w:szCs w:val="32"/>
        </w:rPr>
        <w:t>二、机构设置及决算单位构成</w:t>
      </w:r>
    </w:p>
    <w:p>
      <w:pPr>
        <w:ind w:firstLine="640" w:firstLineChars="200"/>
        <w:jc w:val="left"/>
        <w:rPr>
          <w:rFonts w:hint="eastAsia" w:ascii="Times New Roman" w:hAnsi="Times New Roman" w:eastAsia="方正仿宋_GBK" w:cs="Times New Roman"/>
          <w:bCs/>
          <w:color w:val="auto"/>
          <w:kern w:val="0"/>
          <w:sz w:val="32"/>
          <w:szCs w:val="32"/>
          <w:lang w:eastAsia="zh-CN"/>
        </w:rPr>
      </w:pPr>
      <w:r>
        <w:rPr>
          <w:rFonts w:hint="eastAsia" w:ascii="Times New Roman" w:hAnsi="Times New Roman" w:eastAsia="方正仿宋_GBK" w:cs="Times New Roman"/>
          <w:bCs/>
          <w:color w:val="auto"/>
          <w:kern w:val="0"/>
          <w:sz w:val="32"/>
          <w:szCs w:val="32"/>
          <w:lang w:eastAsia="zh-CN"/>
        </w:rPr>
        <w:t>（一）内设机构。</w:t>
      </w:r>
      <w:r>
        <w:rPr>
          <w:rFonts w:hint="default" w:ascii="Times New Roman" w:hAnsi="Times New Roman" w:eastAsia="方正仿宋_GBK" w:cs="Times New Roman"/>
          <w:bCs/>
          <w:color w:val="auto"/>
          <w:kern w:val="0"/>
          <w:sz w:val="32"/>
          <w:szCs w:val="32"/>
        </w:rPr>
        <w:t>湖南省农林工业勘察设计研究总院</w:t>
      </w:r>
      <w:r>
        <w:rPr>
          <w:rFonts w:hint="eastAsia" w:ascii="Times New Roman" w:hAnsi="Times New Roman" w:eastAsia="方正仿宋_GBK" w:cs="Times New Roman"/>
          <w:bCs/>
          <w:color w:val="auto"/>
          <w:kern w:val="0"/>
          <w:sz w:val="32"/>
          <w:szCs w:val="32"/>
          <w:lang w:eastAsia="zh-CN"/>
        </w:rPr>
        <w:t>内设机构包括：</w:t>
      </w:r>
      <w:r>
        <w:rPr>
          <w:rFonts w:hint="default" w:ascii="Times New Roman" w:hAnsi="Times New Roman" w:eastAsia="方正仿宋_GBK" w:cs="Times New Roman"/>
          <w:bCs/>
          <w:color w:val="auto"/>
          <w:kern w:val="0"/>
          <w:sz w:val="32"/>
          <w:szCs w:val="32"/>
        </w:rPr>
        <w:t>11个生产经营部门分别为森林资源与生态环境监测中心、农业规划设计分院、交通市政规划设计分院、勘测设计分院、工业设计分院、规划与景观设计分院、建筑规划设计分院、公用工程设计分院、林业资源保护利用服务中心、生态环境工程建设中心、工程监理中心，设8个职能部门分别为党政办公室/改革办公室、生产经营处、技术质量处、人事教育处、纪检监察室、财务资产处、工会/离退办、后勤事务处，1个投资实体为鸿林大酒店</w:t>
      </w:r>
      <w:r>
        <w:rPr>
          <w:rFonts w:hint="eastAsia" w:ascii="Times New Roman" w:hAnsi="Times New Roman" w:eastAsia="方正仿宋_GBK" w:cs="Times New Roman"/>
          <w:bCs/>
          <w:color w:val="auto"/>
          <w:kern w:val="0"/>
          <w:sz w:val="32"/>
          <w:szCs w:val="32"/>
          <w:lang w:eastAsia="zh-CN"/>
        </w:rPr>
        <w:t>。</w:t>
      </w:r>
    </w:p>
    <w:p>
      <w:pPr>
        <w:ind w:firstLine="640" w:firstLineChars="200"/>
        <w:jc w:val="left"/>
        <w:rPr>
          <w:rFonts w:hint="default" w:ascii="Times New Roman" w:hAnsi="Times New Roman" w:eastAsia="方正仿宋_GBK" w:cs="Times New Roman"/>
          <w:bCs/>
          <w:color w:val="auto"/>
          <w:kern w:val="0"/>
          <w:sz w:val="32"/>
          <w:szCs w:val="32"/>
        </w:rPr>
      </w:pPr>
      <w:r>
        <w:rPr>
          <w:rFonts w:hint="eastAsia" w:ascii="Times New Roman" w:hAnsi="Times New Roman" w:eastAsia="方正仿宋_GBK" w:cs="Times New Roman"/>
          <w:bCs/>
          <w:color w:val="auto"/>
          <w:kern w:val="0"/>
          <w:sz w:val="32"/>
          <w:szCs w:val="32"/>
          <w:lang w:eastAsia="zh-CN"/>
        </w:rPr>
        <w:t>（二）决算单位构成。</w:t>
      </w:r>
      <w:r>
        <w:rPr>
          <w:rFonts w:hint="default" w:ascii="Times New Roman" w:hAnsi="Times New Roman" w:eastAsia="方正仿宋_GBK" w:cs="Times New Roman"/>
          <w:bCs/>
          <w:color w:val="auto"/>
          <w:kern w:val="0"/>
          <w:sz w:val="32"/>
          <w:szCs w:val="32"/>
        </w:rPr>
        <w:t>湖南省农林工业勘察设计研究总院</w:t>
      </w:r>
      <w:r>
        <w:rPr>
          <w:rFonts w:hint="eastAsia" w:ascii="Times New Roman" w:hAnsi="Times New Roman" w:eastAsia="方正仿宋_GBK" w:cs="Times New Roman"/>
          <w:bCs/>
          <w:color w:val="auto"/>
          <w:kern w:val="0"/>
          <w:sz w:val="32"/>
          <w:szCs w:val="32"/>
          <w:lang w:val="en-US" w:eastAsia="zh-CN"/>
        </w:rPr>
        <w:t>2021年部门决算汇总公开单位构成包括：</w:t>
      </w:r>
      <w:r>
        <w:rPr>
          <w:rFonts w:hint="default" w:ascii="Times New Roman" w:hAnsi="Times New Roman" w:eastAsia="方正仿宋_GBK" w:cs="Times New Roman"/>
          <w:bCs/>
          <w:color w:val="auto"/>
          <w:kern w:val="0"/>
          <w:sz w:val="32"/>
          <w:szCs w:val="32"/>
        </w:rPr>
        <w:t>湖南省农林工业勘察设计研究总院本级，无下属三级预算单位。</w:t>
      </w:r>
    </w:p>
    <w:p>
      <w:pPr>
        <w:jc w:val="center"/>
        <w:rPr>
          <w:rFonts w:hint="default" w:ascii="Times New Roman" w:hAnsi="Times New Roman" w:eastAsia="黑体" w:cs="Times New Roman"/>
          <w:color w:val="auto"/>
          <w:sz w:val="28"/>
          <w:szCs w:val="28"/>
        </w:rPr>
      </w:pPr>
    </w:p>
    <w:p>
      <w:pPr>
        <w:jc w:val="center"/>
        <w:rPr>
          <w:rFonts w:hint="default" w:ascii="Times New Roman" w:hAnsi="Times New Roman" w:eastAsia="黑体" w:cs="Times New Roman"/>
          <w:color w:val="auto"/>
          <w:sz w:val="28"/>
          <w:szCs w:val="28"/>
        </w:rPr>
      </w:pPr>
    </w:p>
    <w:p>
      <w:pPr>
        <w:jc w:val="center"/>
        <w:rPr>
          <w:rFonts w:hint="default" w:ascii="Times New Roman" w:hAnsi="Times New Roman" w:eastAsia="黑体" w:cs="Times New Roman"/>
          <w:color w:val="auto"/>
          <w:sz w:val="28"/>
          <w:szCs w:val="28"/>
        </w:rPr>
      </w:pPr>
    </w:p>
    <w:p>
      <w:pPr>
        <w:jc w:val="center"/>
        <w:rPr>
          <w:rFonts w:hint="default" w:ascii="Times New Roman" w:hAnsi="Times New Roman" w:eastAsia="黑体" w:cs="Times New Roman"/>
          <w:color w:val="auto"/>
          <w:sz w:val="28"/>
          <w:szCs w:val="28"/>
        </w:rPr>
      </w:pPr>
    </w:p>
    <w:p>
      <w:pPr>
        <w:jc w:val="center"/>
        <w:rPr>
          <w:rFonts w:hint="default" w:ascii="Times New Roman" w:hAnsi="Times New Roman" w:eastAsia="黑体" w:cs="Times New Roman"/>
          <w:color w:val="auto"/>
          <w:sz w:val="28"/>
          <w:szCs w:val="28"/>
        </w:rPr>
      </w:pPr>
    </w:p>
    <w:p>
      <w:pPr>
        <w:jc w:val="center"/>
        <w:rPr>
          <w:rFonts w:hint="default" w:ascii="Times New Roman" w:hAnsi="Times New Roman" w:eastAsia="黑体" w:cs="Times New Roman"/>
          <w:color w:val="auto"/>
          <w:sz w:val="28"/>
          <w:szCs w:val="28"/>
        </w:rPr>
      </w:pPr>
    </w:p>
    <w:p>
      <w:pPr>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52"/>
          <w:szCs w:val="52"/>
        </w:rPr>
      </w:pPr>
    </w:p>
    <w:p>
      <w:pPr>
        <w:pStyle w:val="13"/>
        <w:jc w:val="center"/>
        <w:rPr>
          <w:rFonts w:hint="default" w:ascii="Times New Roman" w:hAnsi="Times New Roman" w:cs="Times New Roman"/>
          <w:color w:val="auto"/>
          <w:sz w:val="52"/>
          <w:szCs w:val="52"/>
        </w:rPr>
      </w:pPr>
    </w:p>
    <w:p>
      <w:pPr>
        <w:pStyle w:val="13"/>
        <w:jc w:val="center"/>
        <w:rPr>
          <w:rFonts w:hint="default" w:ascii="Times New Roman" w:hAnsi="Times New Roman" w:cs="Times New Roman"/>
          <w:color w:val="auto"/>
          <w:sz w:val="52"/>
          <w:szCs w:val="52"/>
        </w:rPr>
      </w:pPr>
      <w:r>
        <w:rPr>
          <w:rFonts w:hint="default" w:ascii="Times New Roman" w:hAnsi="Times New Roman" w:cs="Times New Roman"/>
          <w:color w:val="auto"/>
          <w:sz w:val="52"/>
          <w:szCs w:val="52"/>
        </w:rPr>
        <w:t>第二部分</w:t>
      </w:r>
    </w:p>
    <w:p>
      <w:pPr>
        <w:pStyle w:val="13"/>
        <w:jc w:val="center"/>
        <w:rPr>
          <w:rFonts w:hint="default" w:ascii="Times New Roman" w:hAnsi="Times New Roman" w:cs="Times New Roman"/>
          <w:color w:val="auto"/>
          <w:sz w:val="52"/>
          <w:szCs w:val="52"/>
        </w:rPr>
      </w:pPr>
    </w:p>
    <w:p>
      <w:pPr>
        <w:pStyle w:val="13"/>
        <w:jc w:val="center"/>
        <w:rPr>
          <w:rFonts w:hint="default" w:ascii="Times New Roman" w:hAnsi="Times New Roman" w:cs="Times New Roman"/>
          <w:color w:val="auto"/>
          <w:sz w:val="52"/>
          <w:szCs w:val="52"/>
        </w:rPr>
      </w:pPr>
      <w:r>
        <w:rPr>
          <w:rFonts w:hint="eastAsia" w:ascii="Times New Roman" w:hAnsi="Times New Roman" w:cs="Times New Roman"/>
          <w:color w:val="auto"/>
          <w:sz w:val="52"/>
          <w:szCs w:val="52"/>
          <w:lang w:eastAsia="zh-CN"/>
        </w:rPr>
        <w:t>单位</w:t>
      </w:r>
      <w:r>
        <w:rPr>
          <w:rFonts w:hint="default" w:ascii="Times New Roman" w:hAnsi="Times New Roman" w:cs="Times New Roman"/>
          <w:color w:val="auto"/>
          <w:sz w:val="52"/>
          <w:szCs w:val="52"/>
        </w:rPr>
        <w:t>决算表</w:t>
      </w:r>
    </w:p>
    <w:p>
      <w:pPr>
        <w:jc w:val="center"/>
        <w:rPr>
          <w:rFonts w:hint="default" w:ascii="Times New Roman" w:hAnsi="Times New Roman" w:cs="Times New Roman"/>
          <w:color w:val="auto"/>
          <w:sz w:val="72"/>
          <w:szCs w:val="72"/>
        </w:rPr>
      </w:pPr>
    </w:p>
    <w:p>
      <w:pPr>
        <w:jc w:val="center"/>
        <w:rPr>
          <w:rFonts w:hint="default" w:ascii="Times New Roman" w:hAnsi="Times New Roman" w:cs="Times New Roman"/>
          <w:color w:val="auto"/>
          <w:sz w:val="72"/>
          <w:szCs w:val="72"/>
        </w:rPr>
      </w:pPr>
    </w:p>
    <w:p>
      <w:pPr>
        <w:jc w:val="center"/>
        <w:rPr>
          <w:rFonts w:hint="default" w:ascii="Times New Roman" w:hAnsi="Times New Roman" w:cs="Times New Roman"/>
          <w:color w:val="auto"/>
          <w:sz w:val="72"/>
          <w:szCs w:val="72"/>
        </w:rPr>
      </w:pPr>
    </w:p>
    <w:p>
      <w:pPr>
        <w:jc w:val="center"/>
        <w:rPr>
          <w:rFonts w:hint="default" w:ascii="Times New Roman" w:hAnsi="Times New Roman" w:cs="Times New Roman"/>
          <w:color w:val="auto"/>
          <w:sz w:val="72"/>
          <w:szCs w:val="72"/>
        </w:rPr>
      </w:pPr>
    </w:p>
    <w:p>
      <w:pPr>
        <w:jc w:val="center"/>
        <w:rPr>
          <w:rFonts w:hint="default" w:ascii="Times New Roman" w:hAnsi="Times New Roman" w:cs="Times New Roman"/>
          <w:color w:val="auto"/>
          <w:sz w:val="72"/>
          <w:szCs w:val="72"/>
        </w:rPr>
      </w:pPr>
    </w:p>
    <w:p>
      <w:pPr>
        <w:jc w:val="center"/>
        <w:rPr>
          <w:rFonts w:hint="default" w:ascii="Times New Roman" w:hAnsi="Times New Roman" w:cs="Times New Roman"/>
          <w:color w:val="auto"/>
          <w:sz w:val="72"/>
          <w:szCs w:val="72"/>
        </w:rPr>
      </w:pPr>
    </w:p>
    <w:p>
      <w:pPr>
        <w:jc w:val="left"/>
        <w:rPr>
          <w:rFonts w:hint="default" w:ascii="Times New Roman" w:hAnsi="Times New Roman" w:cs="Times New Roman"/>
          <w:color w:val="auto"/>
          <w:sz w:val="32"/>
          <w:szCs w:val="32"/>
        </w:rPr>
      </w:pPr>
    </w:p>
    <w:p>
      <w:pPr>
        <w:jc w:val="left"/>
        <w:rPr>
          <w:rFonts w:hint="default" w:ascii="Times New Roman" w:hAnsi="Times New Roman" w:cs="Times New Roman"/>
          <w:color w:val="auto"/>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467"/>
        <w:gridCol w:w="595"/>
        <w:gridCol w:w="144"/>
        <w:gridCol w:w="697"/>
        <w:gridCol w:w="232"/>
        <w:gridCol w:w="905"/>
        <w:gridCol w:w="4362"/>
        <w:gridCol w:w="506"/>
        <w:gridCol w:w="113"/>
        <w:gridCol w:w="544"/>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hint="default" w:ascii="Times New Roman" w:hAnsi="Times New Roman" w:eastAsia="华文中宋" w:cs="Times New Roman"/>
                <w:color w:val="auto"/>
                <w:kern w:val="0"/>
                <w:sz w:val="32"/>
                <w:szCs w:val="32"/>
              </w:rPr>
            </w:pPr>
            <w:r>
              <w:rPr>
                <w:rFonts w:hint="default" w:ascii="Times New Roman" w:hAnsi="Times New Roman" w:eastAsia="华文中宋" w:cs="Times New Roman"/>
                <w:color w:val="auto"/>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697"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657" w:type="dxa"/>
            <w:gridSpan w:val="2"/>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部门：湖南省农林工业勘察设计研究总院</w:t>
            </w:r>
          </w:p>
        </w:tc>
        <w:tc>
          <w:tcPr>
            <w:tcW w:w="697"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657" w:type="dxa"/>
            <w:gridSpan w:val="2"/>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单位：万元</w:t>
            </w:r>
          </w:p>
        </w:tc>
      </w:tr>
      <w:tr>
        <w:tblPrEx>
          <w:tblCellMar>
            <w:top w:w="0" w:type="dxa"/>
            <w:left w:w="108" w:type="dxa"/>
            <w:bottom w:w="0" w:type="dxa"/>
            <w:right w:w="108" w:type="dxa"/>
          </w:tblCellMar>
        </w:tblPrEx>
        <w:trPr>
          <w:trHeight w:val="300" w:hRule="atLeast"/>
        </w:trPr>
        <w:tc>
          <w:tcPr>
            <w:tcW w:w="7040" w:type="dxa"/>
            <w:gridSpan w:val="6"/>
            <w:tcBorders>
              <w:top w:val="single" w:color="80808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收入</w:t>
            </w:r>
          </w:p>
        </w:tc>
        <w:tc>
          <w:tcPr>
            <w:tcW w:w="7040" w:type="dxa"/>
            <w:gridSpan w:val="5"/>
            <w:tcBorders>
              <w:top w:val="single" w:color="80808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支出</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项目</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行次</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金额</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项目</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行次</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金额</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栏次</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1</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栏次</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2</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一、一般公共预算财政拨款收入</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1</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6437.26</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一、一般公共服务支出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32</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17.80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2</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二、外交支出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33</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3</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三、国防支出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34</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四、上级补助收入</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4</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四、公共安全支出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35</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五、事业收入</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5</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五、教育支出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36</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六、经营收入</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6</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25629.88</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六、科学技术支出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37</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200.00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七、附属单位上缴收入</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7</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七、文化旅游体育与传媒支出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38</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八、其他收入</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8</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八、社会保障和就业支出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39</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232.18</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9</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九、卫生健康支出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40</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10</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十、节能环保支出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41</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11</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十一、城乡社区支出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42</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12</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十二、农林水支出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43</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31127.38</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13</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十三、交通运输支出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44</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14</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十四、资源勘探工业信息等支出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45</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15</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十五、商业服务业等支出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46</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160.00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16</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十六、金融支出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47</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17</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十七、援助其他地区支出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48</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18</w:t>
            </w:r>
          </w:p>
        </w:tc>
        <w:tc>
          <w:tcPr>
            <w:tcW w:w="1978" w:type="dxa"/>
            <w:gridSpan w:val="4"/>
            <w:tcBorders>
              <w:top w:val="single" w:color="000000" w:sz="4" w:space="0"/>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十八、自然资源海洋气象等支出</w:t>
            </w:r>
          </w:p>
        </w:tc>
        <w:tc>
          <w:tcPr>
            <w:tcW w:w="619"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49</w:t>
            </w:r>
          </w:p>
        </w:tc>
        <w:tc>
          <w:tcPr>
            <w:tcW w:w="2059" w:type="dxa"/>
            <w:gridSpan w:val="2"/>
            <w:tcBorders>
              <w:top w:val="single" w:color="000000" w:sz="4" w:space="0"/>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100.00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19</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十九、住房保障支出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50</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20</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二十、粮油物资储备支出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51</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21</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二十一、国有资本经营预算支出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52</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22</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53</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23</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二十三、其他支出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54</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color w:val="auto"/>
                <w:sz w:val="20"/>
                <w:szCs w:val="20"/>
              </w:rPr>
            </w:pPr>
            <w:r>
              <w:rPr>
                <w:rFonts w:hint="default" w:ascii="Times New Roman" w:hAnsi="Times New Roman" w:cs="Times New Roman"/>
                <w:b/>
                <w:bCs/>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24</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二十四、债务还本支出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55</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25</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二十五、债务付息支出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56</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26</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57</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color w:val="auto"/>
                <w:sz w:val="20"/>
                <w:szCs w:val="20"/>
              </w:rPr>
            </w:pPr>
            <w:r>
              <w:rPr>
                <w:rFonts w:hint="default" w:ascii="Times New Roman" w:hAnsi="Times New Roman" w:cs="Times New Roman"/>
                <w:b/>
                <w:bCs/>
                <w:color w:val="auto"/>
                <w:sz w:val="20"/>
                <w:szCs w:val="20"/>
              </w:rPr>
              <w:t>本年收入合计</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27</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32067.14</w:t>
            </w:r>
          </w:p>
        </w:tc>
        <w:tc>
          <w:tcPr>
            <w:tcW w:w="4362"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color w:val="auto"/>
                <w:sz w:val="20"/>
                <w:szCs w:val="20"/>
              </w:rPr>
            </w:pPr>
            <w:r>
              <w:rPr>
                <w:rFonts w:hint="default" w:ascii="Times New Roman" w:hAnsi="Times New Roman" w:cs="Times New Roman"/>
                <w:b/>
                <w:bCs/>
                <w:color w:val="auto"/>
                <w:sz w:val="20"/>
                <w:szCs w:val="20"/>
              </w:rPr>
              <w:t>本年支出合计</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58</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31837.36</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使用非财政拨款结余</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28</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结余分配</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59</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0.00</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年初结转和结余</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29</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-928.28</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年末结转和结余</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60</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-698.51</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30</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61</w:t>
            </w:r>
          </w:p>
        </w:tc>
        <w:tc>
          <w:tcPr>
            <w:tcW w:w="2059" w:type="dxa"/>
            <w:gridSpan w:val="2"/>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r>
      <w:tr>
        <w:tblPrEx>
          <w:tblCellMar>
            <w:top w:w="0" w:type="dxa"/>
            <w:left w:w="108" w:type="dxa"/>
            <w:bottom w:w="0" w:type="dxa"/>
            <w:right w:w="108" w:type="dxa"/>
          </w:tblCellMar>
        </w:tblPrEx>
        <w:trPr>
          <w:trHeight w:val="300" w:hRule="atLeast"/>
        </w:trPr>
        <w:tc>
          <w:tcPr>
            <w:tcW w:w="446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b/>
                <w:bCs/>
                <w:color w:val="auto"/>
                <w:sz w:val="20"/>
                <w:szCs w:val="20"/>
              </w:rPr>
            </w:pPr>
            <w:r>
              <w:rPr>
                <w:rFonts w:hint="default" w:ascii="Times New Roman" w:hAnsi="Times New Roman" w:cs="Times New Roman"/>
                <w:b/>
                <w:bCs/>
                <w:color w:val="auto"/>
                <w:sz w:val="20"/>
                <w:szCs w:val="20"/>
              </w:rPr>
              <w:t>总计</w:t>
            </w:r>
          </w:p>
        </w:tc>
        <w:tc>
          <w:tcPr>
            <w:tcW w:w="595" w:type="dxa"/>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31</w:t>
            </w:r>
          </w:p>
        </w:tc>
        <w:tc>
          <w:tcPr>
            <w:tcW w:w="1978" w:type="dxa"/>
            <w:gridSpan w:val="4"/>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31138.85</w:t>
            </w:r>
          </w:p>
        </w:tc>
        <w:tc>
          <w:tcPr>
            <w:tcW w:w="4362"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b/>
                <w:bCs/>
                <w:color w:val="auto"/>
                <w:sz w:val="20"/>
                <w:szCs w:val="20"/>
              </w:rPr>
            </w:pPr>
            <w:r>
              <w:rPr>
                <w:rFonts w:hint="default" w:ascii="Times New Roman" w:hAnsi="Times New Roman" w:cs="Times New Roman"/>
                <w:b/>
                <w:bCs/>
                <w:color w:val="auto"/>
                <w:sz w:val="20"/>
                <w:szCs w:val="20"/>
              </w:rPr>
              <w:t>总计</w:t>
            </w:r>
          </w:p>
        </w:tc>
        <w:tc>
          <w:tcPr>
            <w:tcW w:w="619"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62</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31138.85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注：1.本表反映部门本年度的总收支和年末结转结余情况。</w:t>
            </w:r>
            <w:r>
              <w:rPr>
                <w:rFonts w:hint="default" w:ascii="Times New Roman" w:hAnsi="Times New Roman" w:eastAsia="宋体" w:cs="Times New Roman"/>
                <w:color w:val="auto"/>
                <w:kern w:val="0"/>
                <w:sz w:val="24"/>
                <w:szCs w:val="24"/>
              </w:rPr>
              <w:br w:type="textWrapping"/>
            </w:r>
            <w:r>
              <w:rPr>
                <w:rFonts w:hint="default" w:ascii="Times New Roman" w:hAnsi="Times New Roman" w:eastAsia="宋体" w:cs="Times New Roman"/>
                <w:color w:val="auto"/>
                <w:kern w:val="0"/>
                <w:sz w:val="24"/>
                <w:szCs w:val="24"/>
              </w:rPr>
              <w:t xml:space="preserve"> 2.本套报表金额单位转换时可能存在尾数误差。</w:t>
            </w:r>
          </w:p>
        </w:tc>
      </w:tr>
    </w:tbl>
    <w:p>
      <w:pPr>
        <w:jc w:val="center"/>
        <w:rPr>
          <w:rFonts w:hint="default" w:ascii="Times New Roman" w:hAnsi="Times New Roman" w:eastAsia="黑体" w:cs="Times New Roman"/>
          <w:color w:val="auto"/>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4389" w:type="dxa"/>
        <w:tblInd w:w="0" w:type="dxa"/>
        <w:tblLayout w:type="autofit"/>
        <w:tblCellMar>
          <w:top w:w="0" w:type="dxa"/>
          <w:left w:w="0" w:type="dxa"/>
          <w:bottom w:w="0" w:type="dxa"/>
          <w:right w:w="0" w:type="dxa"/>
        </w:tblCellMar>
      </w:tblPr>
      <w:tblGrid>
        <w:gridCol w:w="1516"/>
        <w:gridCol w:w="1516"/>
        <w:gridCol w:w="351"/>
        <w:gridCol w:w="351"/>
        <w:gridCol w:w="351"/>
        <w:gridCol w:w="351"/>
        <w:gridCol w:w="351"/>
        <w:gridCol w:w="351"/>
        <w:gridCol w:w="351"/>
        <w:gridCol w:w="9939"/>
      </w:tblGrid>
      <w:tr>
        <w:tblPrEx>
          <w:tblCellMar>
            <w:top w:w="0" w:type="dxa"/>
            <w:left w:w="0" w:type="dxa"/>
            <w:bottom w:w="0" w:type="dxa"/>
            <w:right w:w="0" w:type="dxa"/>
          </w:tblCellMar>
        </w:tblPrEx>
        <w:trPr>
          <w:trHeight w:val="435" w:hRule="atLeast"/>
        </w:trPr>
        <w:tc>
          <w:tcPr>
            <w:tcW w:w="14389"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hint="default" w:ascii="Times New Roman" w:hAnsi="Times New Roman" w:eastAsia="华文中宋" w:cs="Times New Roman"/>
                <w:color w:val="auto"/>
                <w:sz w:val="32"/>
                <w:szCs w:val="32"/>
              </w:rPr>
            </w:pPr>
            <w:r>
              <w:rPr>
                <w:rFonts w:hint="default" w:ascii="Times New Roman" w:hAnsi="Times New Roman" w:eastAsia="华文中宋" w:cs="Times New Roman"/>
                <w:color w:val="auto"/>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部门：</w:t>
            </w:r>
            <w:r>
              <w:rPr>
                <w:rFonts w:hint="default" w:ascii="Times New Roman" w:hAnsi="Times New Roman" w:cs="Times New Roman"/>
                <w:color w:val="auto"/>
                <w:sz w:val="18"/>
                <w:szCs w:val="18"/>
              </w:rPr>
              <w:t>湖南省农林工业勘察设计研究总院</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615" w:hRule="atLeast"/>
        </w:trPr>
        <w:tc>
          <w:tcPr>
            <w:tcW w:w="14389" w:type="dxa"/>
            <w:gridSpan w:val="10"/>
            <w:tcBorders>
              <w:top w:val="nil"/>
              <w:left w:val="nil"/>
              <w:bottom w:val="nil"/>
              <w:right w:val="nil"/>
            </w:tcBorders>
            <w:shd w:val="clear" w:color="auto" w:fill="auto"/>
            <w:tcMar>
              <w:top w:w="15" w:type="dxa"/>
              <w:left w:w="15" w:type="dxa"/>
              <w:bottom w:w="0" w:type="dxa"/>
              <w:right w:w="15" w:type="dxa"/>
            </w:tcMar>
            <w:vAlign w:val="center"/>
          </w:tcPr>
          <w:tbl>
            <w:tblPr>
              <w:tblStyle w:val="8"/>
              <w:tblW w:w="175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9"/>
              <w:gridCol w:w="3409"/>
              <w:gridCol w:w="1581"/>
              <w:gridCol w:w="1581"/>
              <w:gridCol w:w="1581"/>
              <w:gridCol w:w="1581"/>
              <w:gridCol w:w="1582"/>
              <w:gridCol w:w="1582"/>
              <w:gridCol w:w="1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940" w:type="dxa"/>
                  <w:gridSpan w:val="2"/>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项目</w:t>
                  </w:r>
                </w:p>
              </w:tc>
              <w:tc>
                <w:tcPr>
                  <w:tcW w:w="1800" w:type="dxa"/>
                  <w:vMerge w:val="restart"/>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本年收入合计</w:t>
                  </w:r>
                </w:p>
              </w:tc>
              <w:tc>
                <w:tcPr>
                  <w:tcW w:w="1800" w:type="dxa"/>
                  <w:vMerge w:val="restart"/>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财政拨款收入</w:t>
                  </w:r>
                </w:p>
              </w:tc>
              <w:tc>
                <w:tcPr>
                  <w:tcW w:w="1800" w:type="dxa"/>
                  <w:vMerge w:val="restart"/>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上级补助收入</w:t>
                  </w:r>
                </w:p>
              </w:tc>
              <w:tc>
                <w:tcPr>
                  <w:tcW w:w="1800" w:type="dxa"/>
                  <w:vMerge w:val="restart"/>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事业收入</w:t>
                  </w:r>
                </w:p>
              </w:tc>
              <w:tc>
                <w:tcPr>
                  <w:tcW w:w="1800" w:type="dxa"/>
                  <w:vMerge w:val="restart"/>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经营收入</w:t>
                  </w:r>
                </w:p>
              </w:tc>
              <w:tc>
                <w:tcPr>
                  <w:tcW w:w="1800" w:type="dxa"/>
                  <w:vMerge w:val="restart"/>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附属单位上缴收入</w:t>
                  </w:r>
                </w:p>
              </w:tc>
              <w:tc>
                <w:tcPr>
                  <w:tcW w:w="1800" w:type="dxa"/>
                  <w:vMerge w:val="restart"/>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020" w:type="dxa"/>
                  <w:vMerge w:val="restart"/>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功能分类科目编码</w:t>
                  </w:r>
                </w:p>
              </w:tc>
              <w:tc>
                <w:tcPr>
                  <w:tcW w:w="3920" w:type="dxa"/>
                  <w:vMerge w:val="restart"/>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科目名称</w:t>
                  </w: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02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392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02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392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vAlign w:val="center"/>
                </w:tcPr>
                <w:p>
                  <w:pPr>
                    <w:widowControl/>
                    <w:jc w:val="left"/>
                    <w:rPr>
                      <w:rFonts w:hint="default" w:ascii="Times New Roman" w:hAnsi="Times New Roman" w:eastAsia="宋体" w:cs="Times New Roman"/>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940" w:type="dxa"/>
                  <w:gridSpan w:val="2"/>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栏次</w:t>
                  </w:r>
                </w:p>
              </w:tc>
              <w:tc>
                <w:tcPr>
                  <w:tcW w:w="1800" w:type="dxa"/>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w:t>
                  </w:r>
                </w:p>
              </w:tc>
              <w:tc>
                <w:tcPr>
                  <w:tcW w:w="1800" w:type="dxa"/>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w:t>
                  </w:r>
                </w:p>
              </w:tc>
              <w:tc>
                <w:tcPr>
                  <w:tcW w:w="1800" w:type="dxa"/>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w:t>
                  </w:r>
                </w:p>
              </w:tc>
              <w:tc>
                <w:tcPr>
                  <w:tcW w:w="1800" w:type="dxa"/>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w:t>
                  </w:r>
                </w:p>
              </w:tc>
              <w:tc>
                <w:tcPr>
                  <w:tcW w:w="1800" w:type="dxa"/>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w:t>
                  </w:r>
                </w:p>
              </w:tc>
              <w:tc>
                <w:tcPr>
                  <w:tcW w:w="1800" w:type="dxa"/>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6</w:t>
                  </w:r>
                </w:p>
              </w:tc>
              <w:tc>
                <w:tcPr>
                  <w:tcW w:w="1800" w:type="dxa"/>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940" w:type="dxa"/>
                  <w:gridSpan w:val="2"/>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合计</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32067.14</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6437.26</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25629.88</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201</w:t>
                  </w:r>
                </w:p>
              </w:tc>
              <w:tc>
                <w:tcPr>
                  <w:tcW w:w="39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一般公共服务支出</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17.80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17.80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20104</w:t>
                  </w:r>
                </w:p>
              </w:tc>
              <w:tc>
                <w:tcPr>
                  <w:tcW w:w="39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发展与改革事务</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17.80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17.80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2010499</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其他发展与改革事务支出</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17.80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17.80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206</w:t>
                  </w:r>
                </w:p>
              </w:tc>
              <w:tc>
                <w:tcPr>
                  <w:tcW w:w="39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科学技术支出</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100.00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100.00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20603</w:t>
                  </w:r>
                </w:p>
              </w:tc>
              <w:tc>
                <w:tcPr>
                  <w:tcW w:w="39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应用研究</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100.00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100.00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2060303</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高技术研究</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208</w:t>
                  </w:r>
                </w:p>
              </w:tc>
              <w:tc>
                <w:tcPr>
                  <w:tcW w:w="39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社会保障和就业支出</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232.18</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232.18</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20805</w:t>
                  </w:r>
                </w:p>
              </w:tc>
              <w:tc>
                <w:tcPr>
                  <w:tcW w:w="39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行政事业单位养老支出</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232.18</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232.18</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2080501</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行政单位离退休</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0.76</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0.76</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2080502</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事业单位离退休</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0.44</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0.44</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2080505</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18"/>
                      <w:szCs w:val="18"/>
                    </w:rPr>
                    <w:t>机关事业单位基本养老保险缴费支出</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100.98</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100.98</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2080506</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机关事业单位职业年金缴费支出</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130.00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130.00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213</w:t>
                  </w:r>
                </w:p>
              </w:tc>
              <w:tc>
                <w:tcPr>
                  <w:tcW w:w="39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农林水支出</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31457.16</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5827.28</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25629.88</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21301</w:t>
                  </w:r>
                </w:p>
              </w:tc>
              <w:tc>
                <w:tcPr>
                  <w:tcW w:w="39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农业农村</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246.00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246.00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2130104</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事业运行</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246.00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246.00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21302</w:t>
                  </w:r>
                </w:p>
              </w:tc>
              <w:tc>
                <w:tcPr>
                  <w:tcW w:w="39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林业和草原</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31211.16</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5581.28</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25629.88</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2130204</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事业机构</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28136.16</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2506.28</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25629.88</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2130206</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技术推广与转化</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108.00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108.00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2130207</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森林资源管理</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1188.00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1188.00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2130209</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森林生态效益补偿</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709.00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709.00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2130211</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动植物保护</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881.00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881.00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2130212</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湿地保护</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2130220</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对外合作与交流</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35.00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35.00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2130299</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其他林业和草原支出</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104.00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104.00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216</w:t>
                  </w:r>
                </w:p>
              </w:tc>
              <w:tc>
                <w:tcPr>
                  <w:tcW w:w="39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商业服务业等支出</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160.00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160.00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21699</w:t>
                  </w:r>
                </w:p>
              </w:tc>
              <w:tc>
                <w:tcPr>
                  <w:tcW w:w="39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其他商业服务业等支出</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160.00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160.00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2169999</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其他商业服务业等支出</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160.00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160.00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220</w:t>
                  </w:r>
                </w:p>
              </w:tc>
              <w:tc>
                <w:tcPr>
                  <w:tcW w:w="39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自然资源海洋气象等支出</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100.00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100.00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22001</w:t>
                  </w:r>
                </w:p>
              </w:tc>
              <w:tc>
                <w:tcPr>
                  <w:tcW w:w="392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自然资源事务</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100.00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100.00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w:t>
                  </w:r>
                  <w:r>
                    <w:rPr>
                      <w:rFonts w:hint="default" w:ascii="Times New Roman" w:hAnsi="Times New Roman" w:eastAsia="宋体" w:cs="Times New Roman"/>
                      <w:color w:val="auto"/>
                      <w:kern w:val="0"/>
                      <w:sz w:val="18"/>
                      <w:szCs w:val="18"/>
                    </w:rPr>
                    <w:t>200109</w:t>
                  </w:r>
                </w:p>
              </w:tc>
              <w:tc>
                <w:tcPr>
                  <w:tcW w:w="392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自然资源调查与确权登记</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bl>
          <w:p>
            <w:pPr>
              <w:rPr>
                <w:rFonts w:hint="default" w:ascii="Times New Roman" w:hAnsi="Times New Roman" w:eastAsia="宋体" w:cs="Times New Roman"/>
                <w:color w:val="auto"/>
                <w:sz w:val="24"/>
                <w:szCs w:val="24"/>
              </w:rPr>
            </w:pPr>
            <w:r>
              <w:rPr>
                <w:rFonts w:hint="default" w:ascii="Times New Roman" w:hAnsi="Times New Roman" w:cs="Times New Roman"/>
                <w:color w:val="auto"/>
              </w:rPr>
              <w:t>注：本表反映部门本年度取得的各项收入情况。</w:t>
            </w:r>
          </w:p>
        </w:tc>
      </w:tr>
    </w:tbl>
    <w:p>
      <w:pPr>
        <w:widowControl/>
        <w:jc w:val="left"/>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 xml:space="preserve"> </w:t>
      </w:r>
      <w:r>
        <w:rPr>
          <w:rFonts w:hint="default" w:ascii="Times New Roman" w:hAnsi="Times New Roman" w:eastAsia="黑体" w:cs="Times New Roman"/>
          <w:bCs/>
          <w:color w:val="auto"/>
          <w:kern w:val="0"/>
          <w:sz w:val="32"/>
          <w:szCs w:val="32"/>
        </w:rPr>
        <w:br w:type="page"/>
      </w:r>
    </w:p>
    <w:tbl>
      <w:tblPr>
        <w:tblStyle w:val="8"/>
        <w:tblW w:w="15521" w:type="dxa"/>
        <w:tblInd w:w="93" w:type="dxa"/>
        <w:tblLayout w:type="autofit"/>
        <w:tblCellMar>
          <w:top w:w="0" w:type="dxa"/>
          <w:left w:w="108" w:type="dxa"/>
          <w:bottom w:w="0" w:type="dxa"/>
          <w:right w:w="108" w:type="dxa"/>
        </w:tblCellMar>
      </w:tblPr>
      <w:tblGrid>
        <w:gridCol w:w="1948"/>
        <w:gridCol w:w="228"/>
        <w:gridCol w:w="977"/>
        <w:gridCol w:w="1910"/>
        <w:gridCol w:w="1948"/>
        <w:gridCol w:w="1948"/>
        <w:gridCol w:w="1948"/>
        <w:gridCol w:w="1948"/>
        <w:gridCol w:w="2666"/>
      </w:tblGrid>
      <w:tr>
        <w:tblPrEx>
          <w:tblCellMar>
            <w:top w:w="0" w:type="dxa"/>
            <w:left w:w="108" w:type="dxa"/>
            <w:bottom w:w="0" w:type="dxa"/>
            <w:right w:w="108" w:type="dxa"/>
          </w:tblCellMar>
        </w:tblPrEx>
        <w:trPr>
          <w:trHeight w:val="435" w:hRule="atLeast"/>
        </w:trPr>
        <w:tc>
          <w:tcPr>
            <w:tcW w:w="15521" w:type="dxa"/>
            <w:gridSpan w:val="9"/>
            <w:tcBorders>
              <w:top w:val="nil"/>
              <w:left w:val="nil"/>
              <w:bottom w:val="nil"/>
              <w:right w:val="nil"/>
            </w:tcBorders>
            <w:shd w:val="clear" w:color="auto" w:fill="auto"/>
            <w:noWrap/>
            <w:vAlign w:val="center"/>
          </w:tcPr>
          <w:p>
            <w:pPr>
              <w:widowControl/>
              <w:jc w:val="center"/>
              <w:rPr>
                <w:rFonts w:hint="default" w:ascii="Times New Roman" w:hAnsi="Times New Roman" w:eastAsia="华文中宋" w:cs="Times New Roman"/>
                <w:color w:val="auto"/>
                <w:kern w:val="0"/>
                <w:sz w:val="32"/>
                <w:szCs w:val="32"/>
              </w:rPr>
            </w:pPr>
            <w:r>
              <w:rPr>
                <w:rFonts w:hint="default" w:ascii="Times New Roman" w:hAnsi="Times New Roman" w:eastAsia="华文中宋" w:cs="Times New Roman"/>
                <w:color w:val="auto"/>
                <w:kern w:val="0"/>
                <w:sz w:val="32"/>
                <w:szCs w:val="32"/>
              </w:rPr>
              <w:t>支出决算表</w:t>
            </w:r>
          </w:p>
        </w:tc>
      </w:tr>
      <w:tr>
        <w:tblPrEx>
          <w:tblCellMar>
            <w:top w:w="0" w:type="dxa"/>
            <w:left w:w="108" w:type="dxa"/>
            <w:bottom w:w="0" w:type="dxa"/>
            <w:right w:w="108" w:type="dxa"/>
          </w:tblCellMar>
        </w:tblPrEx>
        <w:trPr>
          <w:trHeight w:val="285" w:hRule="atLeast"/>
        </w:trPr>
        <w:tc>
          <w:tcPr>
            <w:tcW w:w="1949"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216"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974"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911"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950"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950"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950"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950"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2671"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公开03表</w:t>
            </w:r>
          </w:p>
        </w:tc>
      </w:tr>
      <w:tr>
        <w:tblPrEx>
          <w:tblCellMar>
            <w:top w:w="0" w:type="dxa"/>
            <w:left w:w="108" w:type="dxa"/>
            <w:bottom w:w="0" w:type="dxa"/>
            <w:right w:w="108" w:type="dxa"/>
          </w:tblCellMar>
        </w:tblPrEx>
        <w:trPr>
          <w:trHeight w:val="630" w:hRule="atLeast"/>
        </w:trPr>
        <w:tc>
          <w:tcPr>
            <w:tcW w:w="15521" w:type="dxa"/>
            <w:gridSpan w:val="9"/>
            <w:tcBorders>
              <w:top w:val="nil"/>
              <w:left w:val="nil"/>
              <w:bottom w:val="nil"/>
              <w:right w:val="nil"/>
            </w:tcBorders>
            <w:shd w:val="clear" w:color="auto" w:fill="auto"/>
            <w:vAlign w:val="center"/>
          </w:tcPr>
          <w:tbl>
            <w:tblPr>
              <w:tblStyle w:val="8"/>
              <w:tblW w:w="15740" w:type="dxa"/>
              <w:tblInd w:w="0" w:type="dxa"/>
              <w:tblLayout w:type="autofit"/>
              <w:tblCellMar>
                <w:top w:w="0" w:type="dxa"/>
                <w:left w:w="108" w:type="dxa"/>
                <w:bottom w:w="0" w:type="dxa"/>
                <w:right w:w="108" w:type="dxa"/>
              </w:tblCellMar>
            </w:tblPr>
            <w:tblGrid>
              <w:gridCol w:w="994"/>
              <w:gridCol w:w="3805"/>
              <w:gridCol w:w="1751"/>
              <w:gridCol w:w="1751"/>
              <w:gridCol w:w="1751"/>
              <w:gridCol w:w="1751"/>
              <w:gridCol w:w="1751"/>
              <w:gridCol w:w="1751"/>
            </w:tblGrid>
            <w:tr>
              <w:tblPrEx>
                <w:tblCellMar>
                  <w:top w:w="0" w:type="dxa"/>
                  <w:left w:w="108" w:type="dxa"/>
                  <w:bottom w:w="0" w:type="dxa"/>
                  <w:right w:w="108" w:type="dxa"/>
                </w:tblCellMar>
              </w:tblPrEx>
              <w:trPr>
                <w:trHeight w:val="300" w:hRule="atLeast"/>
              </w:trPr>
              <w:tc>
                <w:tcPr>
                  <w:tcW w:w="4940" w:type="dxa"/>
                  <w:gridSpan w:val="2"/>
                  <w:tcBorders>
                    <w:top w:val="nil"/>
                    <w:left w:val="nil"/>
                    <w:bottom w:val="single" w:color="808080" w:sz="4" w:space="0"/>
                    <w:right w:val="nil"/>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部门：湖南省农林工业勘察设计研究总院</w:t>
                  </w:r>
                </w:p>
              </w:tc>
              <w:tc>
                <w:tcPr>
                  <w:tcW w:w="1800" w:type="dxa"/>
                  <w:tcBorders>
                    <w:top w:val="nil"/>
                    <w:left w:val="nil"/>
                    <w:bottom w:val="single" w:color="808080" w:sz="4" w:space="0"/>
                    <w:right w:val="nil"/>
                  </w:tcBorders>
                  <w:shd w:val="clear" w:color="auto" w:fill="auto"/>
                  <w:noWrap/>
                  <w:vAlign w:val="center"/>
                </w:tcPr>
                <w:p>
                  <w:pPr>
                    <w:widowControl/>
                    <w:jc w:val="center"/>
                    <w:rPr>
                      <w:rFonts w:hint="default" w:ascii="Times New Roman" w:hAnsi="Times New Roman" w:eastAsia="宋体" w:cs="Times New Roman"/>
                      <w:color w:val="auto"/>
                      <w:kern w:val="0"/>
                      <w:sz w:val="22"/>
                    </w:rPr>
                  </w:pPr>
                </w:p>
              </w:tc>
              <w:tc>
                <w:tcPr>
                  <w:tcW w:w="1800" w:type="dxa"/>
                  <w:tcBorders>
                    <w:top w:val="nil"/>
                    <w:left w:val="nil"/>
                    <w:bottom w:val="single" w:color="808080" w:sz="4" w:space="0"/>
                    <w:right w:val="nil"/>
                  </w:tcBorders>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1800" w:type="dxa"/>
                  <w:tcBorders>
                    <w:top w:val="nil"/>
                    <w:left w:val="nil"/>
                    <w:bottom w:val="single" w:color="808080" w:sz="4" w:space="0"/>
                    <w:right w:val="nil"/>
                  </w:tcBorders>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1800" w:type="dxa"/>
                  <w:tcBorders>
                    <w:top w:val="nil"/>
                    <w:left w:val="nil"/>
                    <w:bottom w:val="single" w:color="808080" w:sz="4" w:space="0"/>
                    <w:right w:val="nil"/>
                  </w:tcBorders>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1800" w:type="dxa"/>
                  <w:tcBorders>
                    <w:top w:val="nil"/>
                    <w:left w:val="nil"/>
                    <w:bottom w:val="single" w:color="808080" w:sz="4" w:space="0"/>
                    <w:right w:val="nil"/>
                  </w:tcBorders>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1800" w:type="dxa"/>
                  <w:tcBorders>
                    <w:top w:val="nil"/>
                    <w:left w:val="nil"/>
                    <w:bottom w:val="single" w:color="808080" w:sz="4" w:space="0"/>
                    <w:right w:val="single" w:color="80808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单位：万元</w:t>
                  </w:r>
                </w:p>
              </w:tc>
            </w:tr>
            <w:tr>
              <w:tblPrEx>
                <w:tblCellMar>
                  <w:top w:w="0" w:type="dxa"/>
                  <w:left w:w="108" w:type="dxa"/>
                  <w:bottom w:w="0" w:type="dxa"/>
                  <w:right w:w="108" w:type="dxa"/>
                </w:tblCellMar>
              </w:tblPrEx>
              <w:trPr>
                <w:trHeight w:val="300" w:hRule="atLeast"/>
              </w:trPr>
              <w:tc>
                <w:tcPr>
                  <w:tcW w:w="49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项目</w:t>
                  </w:r>
                </w:p>
              </w:tc>
              <w:tc>
                <w:tcPr>
                  <w:tcW w:w="18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本年支出合计</w:t>
                  </w:r>
                </w:p>
              </w:tc>
              <w:tc>
                <w:tcPr>
                  <w:tcW w:w="18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基本支出</w:t>
                  </w:r>
                </w:p>
              </w:tc>
              <w:tc>
                <w:tcPr>
                  <w:tcW w:w="18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项目支出</w:t>
                  </w:r>
                </w:p>
              </w:tc>
              <w:tc>
                <w:tcPr>
                  <w:tcW w:w="18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上缴上级支出</w:t>
                  </w:r>
                </w:p>
              </w:tc>
              <w:tc>
                <w:tcPr>
                  <w:tcW w:w="18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经营支出</w:t>
                  </w:r>
                </w:p>
              </w:tc>
              <w:tc>
                <w:tcPr>
                  <w:tcW w:w="18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对附属单位补助支出</w:t>
                  </w:r>
                </w:p>
              </w:tc>
            </w:tr>
            <w:tr>
              <w:tblPrEx>
                <w:tblCellMar>
                  <w:top w:w="0" w:type="dxa"/>
                  <w:left w:w="108" w:type="dxa"/>
                  <w:bottom w:w="0" w:type="dxa"/>
                  <w:right w:w="108" w:type="dxa"/>
                </w:tblCellMar>
              </w:tblPrEx>
              <w:trPr>
                <w:trHeight w:val="312" w:hRule="atLeast"/>
              </w:trPr>
              <w:tc>
                <w:tcPr>
                  <w:tcW w:w="10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功能分类科目编码</w:t>
                  </w:r>
                </w:p>
              </w:tc>
              <w:tc>
                <w:tcPr>
                  <w:tcW w:w="392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科目名称</w:t>
                  </w: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312" w:hRule="atLeast"/>
              </w:trPr>
              <w:tc>
                <w:tcPr>
                  <w:tcW w:w="10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312" w:hRule="atLeast"/>
              </w:trPr>
              <w:tc>
                <w:tcPr>
                  <w:tcW w:w="10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300" w:hRule="atLeast"/>
              </w:trPr>
              <w:tc>
                <w:tcPr>
                  <w:tcW w:w="49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栏次</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6</w:t>
                  </w:r>
                </w:p>
              </w:tc>
            </w:tr>
            <w:tr>
              <w:tblPrEx>
                <w:tblCellMar>
                  <w:top w:w="0" w:type="dxa"/>
                  <w:left w:w="108" w:type="dxa"/>
                  <w:bottom w:w="0" w:type="dxa"/>
                  <w:right w:w="108" w:type="dxa"/>
                </w:tblCellMar>
              </w:tblPrEx>
              <w:trPr>
                <w:trHeight w:val="300" w:hRule="atLeast"/>
              </w:trPr>
              <w:tc>
                <w:tcPr>
                  <w:tcW w:w="49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合计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31837.36</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2734.26</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3798.80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25304.30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201</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一般公共服务支出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17.80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17.80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20104</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发展与改革事务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17.80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17.80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2010499</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其他发展与改革事务支出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17.80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17.80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206</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科学技术支出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20603</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应用研究</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2060303</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高技术研究</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208</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社会保障和就业支出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232.18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232.18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20805</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行政事业单位养老支出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232.18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232.18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2080501</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行政单位离退休</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0.76</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0.76</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2080502</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事业单位离退休</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0.44</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0.44</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2080505</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机关事业单位基本养老保险缴费支出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100.98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100.98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2080506</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机关事业单位职业年金缴费支出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130.00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130.00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213</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农林水支出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31127.38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2502.08</w:t>
                  </w:r>
                </w:p>
              </w:tc>
              <w:tc>
                <w:tcPr>
                  <w:tcW w:w="1800" w:type="dxa"/>
                  <w:tcBorders>
                    <w:top w:val="nil"/>
                    <w:left w:val="nil"/>
                    <w:bottom w:val="single" w:color="000000" w:sz="4" w:space="0"/>
                    <w:right w:val="single" w:color="000000" w:sz="4" w:space="0"/>
                  </w:tcBorders>
                  <w:shd w:val="clear" w:color="auto" w:fill="auto"/>
                  <w:noWrap/>
                  <w:vAlign w:val="center"/>
                </w:tcPr>
                <w:p>
                  <w:pPr>
                    <w:widowControl/>
                    <w:ind w:right="100"/>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3321.00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25304.30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21301</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农业农村</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246.00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246.00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2130104</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事业运行</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246.00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246.00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21302</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林业和草原</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30881.38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2502.08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3075.00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25304.30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2130204</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事业机构</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27806.38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2502.08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25304.30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2130206</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技术推广与转化</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108.00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108.00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2130207</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森林资源管理</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1188.00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1188.00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2130209</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森林生态效益补偿</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709.0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709.00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2130211</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动植物保护</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88100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881.00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2130212</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湿地保护</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2130220</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对外合作与交流</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350.00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35.00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2130299</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其他林业和草原支出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104.00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104.00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216</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商业服务业等支出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160.00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160.00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21699</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其他商业服务业等支出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160.00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160.00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2169999</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其他商业服务业等支出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160.00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160.00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220</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自然资源海洋气象等支出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22001</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自然资源事务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2200109</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自然资源调查与确权登记</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bl>
          <w:p>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注：本表反映部门本年度各项支出情况。</w:t>
            </w:r>
          </w:p>
        </w:tc>
      </w:tr>
    </w:tbl>
    <w:p>
      <w:pPr>
        <w:widowControl/>
        <w:ind w:left="93"/>
        <w:jc w:val="center"/>
        <w:rPr>
          <w:rFonts w:hint="default" w:ascii="Times New Roman" w:hAnsi="Times New Roman" w:eastAsia="方正小标宋_GBK" w:cs="Times New Roman"/>
          <w:color w:val="auto"/>
          <w:kern w:val="0"/>
          <w:sz w:val="36"/>
          <w:szCs w:val="21"/>
        </w:rPr>
      </w:pPr>
    </w:p>
    <w:p>
      <w:pPr>
        <w:widowControl/>
        <w:ind w:left="93"/>
        <w:jc w:val="center"/>
        <w:rPr>
          <w:rFonts w:hint="default" w:ascii="Times New Roman" w:hAnsi="Times New Roman" w:eastAsia="方正小标宋_GBK" w:cs="Times New Roman"/>
          <w:color w:val="auto"/>
          <w:kern w:val="0"/>
          <w:sz w:val="36"/>
          <w:szCs w:val="21"/>
        </w:rPr>
      </w:pPr>
    </w:p>
    <w:p>
      <w:pPr>
        <w:widowControl/>
        <w:ind w:left="93"/>
        <w:jc w:val="center"/>
        <w:rPr>
          <w:rFonts w:hint="default" w:ascii="Times New Roman" w:hAnsi="Times New Roman" w:eastAsia="方正小标宋_GBK" w:cs="Times New Roman"/>
          <w:color w:val="auto"/>
          <w:kern w:val="0"/>
          <w:sz w:val="36"/>
          <w:szCs w:val="21"/>
        </w:rPr>
      </w:pPr>
    </w:p>
    <w:p>
      <w:pPr>
        <w:widowControl/>
        <w:ind w:left="93"/>
        <w:jc w:val="center"/>
        <w:rPr>
          <w:rFonts w:hint="default" w:ascii="Times New Roman" w:hAnsi="Times New Roman" w:eastAsia="方正小标宋_GBK" w:cs="Times New Roman"/>
          <w:color w:val="auto"/>
          <w:kern w:val="0"/>
          <w:sz w:val="36"/>
          <w:szCs w:val="21"/>
        </w:rPr>
      </w:pPr>
    </w:p>
    <w:p>
      <w:pPr>
        <w:widowControl/>
        <w:ind w:left="93"/>
        <w:jc w:val="center"/>
        <w:rPr>
          <w:rFonts w:hint="default" w:ascii="Times New Roman" w:hAnsi="Times New Roman" w:eastAsia="方正小标宋_GBK" w:cs="Times New Roman"/>
          <w:color w:val="auto"/>
          <w:kern w:val="0"/>
          <w:sz w:val="36"/>
          <w:szCs w:val="21"/>
        </w:rPr>
      </w:pPr>
    </w:p>
    <w:p>
      <w:pPr>
        <w:widowControl/>
        <w:ind w:left="93"/>
        <w:jc w:val="center"/>
        <w:rPr>
          <w:rFonts w:hint="default" w:ascii="Times New Roman" w:hAnsi="Times New Roman" w:eastAsia="方正小标宋_GBK" w:cs="Times New Roman"/>
          <w:color w:val="auto"/>
          <w:kern w:val="0"/>
          <w:sz w:val="36"/>
          <w:szCs w:val="21"/>
        </w:rPr>
      </w:pPr>
    </w:p>
    <w:p>
      <w:pPr>
        <w:widowControl/>
        <w:ind w:left="93"/>
        <w:jc w:val="center"/>
        <w:rPr>
          <w:rFonts w:hint="default" w:ascii="Times New Roman" w:hAnsi="Times New Roman" w:eastAsia="方正小标宋_GBK" w:cs="Times New Roman"/>
          <w:color w:val="auto"/>
          <w:kern w:val="0"/>
          <w:sz w:val="36"/>
          <w:szCs w:val="21"/>
        </w:rPr>
      </w:pPr>
    </w:p>
    <w:p>
      <w:pPr>
        <w:widowControl/>
        <w:ind w:left="93"/>
        <w:jc w:val="center"/>
        <w:rPr>
          <w:rFonts w:hint="default" w:ascii="Times New Roman" w:hAnsi="Times New Roman" w:eastAsia="方正小标宋_GBK" w:cs="Times New Roman"/>
          <w:color w:val="auto"/>
          <w:kern w:val="0"/>
          <w:sz w:val="36"/>
          <w:szCs w:val="21"/>
        </w:rPr>
      </w:pPr>
    </w:p>
    <w:p>
      <w:pPr>
        <w:widowControl/>
        <w:ind w:left="93"/>
        <w:jc w:val="center"/>
        <w:rPr>
          <w:rFonts w:hint="default" w:ascii="Times New Roman" w:hAnsi="Times New Roman" w:eastAsia="方正小标宋_GBK" w:cs="Times New Roman"/>
          <w:color w:val="auto"/>
          <w:kern w:val="0"/>
          <w:sz w:val="36"/>
          <w:szCs w:val="21"/>
        </w:rPr>
      </w:pPr>
    </w:p>
    <w:p>
      <w:pPr>
        <w:widowControl/>
        <w:ind w:left="93"/>
        <w:jc w:val="center"/>
        <w:rPr>
          <w:rFonts w:hint="default" w:ascii="Times New Roman" w:hAnsi="Times New Roman" w:eastAsia="方正小标宋_GBK" w:cs="Times New Roman"/>
          <w:color w:val="auto"/>
          <w:kern w:val="0"/>
          <w:sz w:val="36"/>
          <w:szCs w:val="21"/>
        </w:rPr>
      </w:pPr>
    </w:p>
    <w:p>
      <w:pPr>
        <w:widowControl/>
        <w:ind w:left="93"/>
        <w:jc w:val="center"/>
        <w:rPr>
          <w:rFonts w:hint="default" w:ascii="Times New Roman" w:hAnsi="Times New Roman" w:eastAsia="方正小标宋_GBK" w:cs="Times New Roman"/>
          <w:color w:val="auto"/>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679"/>
        <w:gridCol w:w="474"/>
        <w:gridCol w:w="1085"/>
        <w:gridCol w:w="3926"/>
        <w:gridCol w:w="473"/>
        <w:gridCol w:w="1555"/>
        <w:gridCol w:w="1386"/>
        <w:gridCol w:w="1386"/>
        <w:gridCol w:w="1557"/>
      </w:tblGrid>
      <w:tr>
        <w:tblPrEx>
          <w:tblCellMar>
            <w:top w:w="0" w:type="dxa"/>
            <w:left w:w="108" w:type="dxa"/>
            <w:bottom w:w="0" w:type="dxa"/>
            <w:right w:w="108" w:type="dxa"/>
          </w:tblCellMar>
        </w:tblPrEx>
        <w:trPr>
          <w:trHeight w:val="360" w:hRule="atLeast"/>
        </w:trPr>
        <w:tc>
          <w:tcPr>
            <w:tcW w:w="15521" w:type="dxa"/>
            <w:gridSpan w:val="9"/>
            <w:tcBorders>
              <w:top w:val="nil"/>
              <w:left w:val="nil"/>
              <w:bottom w:val="nil"/>
              <w:right w:val="nil"/>
            </w:tcBorders>
            <w:shd w:val="clear" w:color="auto" w:fill="auto"/>
            <w:noWrap/>
            <w:vAlign w:val="center"/>
          </w:tcPr>
          <w:p>
            <w:pPr>
              <w:widowControl/>
              <w:jc w:val="center"/>
              <w:rPr>
                <w:rFonts w:hint="default" w:ascii="Times New Roman" w:hAnsi="Times New Roman" w:eastAsia="华文中宋" w:cs="Times New Roman"/>
                <w:color w:val="auto"/>
                <w:kern w:val="0"/>
                <w:sz w:val="32"/>
                <w:szCs w:val="32"/>
              </w:rPr>
            </w:pPr>
            <w:bookmarkStart w:id="0" w:name="RANGE!A1:I22"/>
            <w:bookmarkEnd w:id="0"/>
            <w:bookmarkStart w:id="1" w:name="RANGE!A1:F16"/>
            <w:r>
              <w:rPr>
                <w:rFonts w:hint="default" w:ascii="Times New Roman" w:hAnsi="Times New Roman" w:eastAsia="华文中宋" w:cs="Times New Roman"/>
                <w:color w:val="auto"/>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701"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460"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3951"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459"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553"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382"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382"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555"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公开04表</w:t>
            </w:r>
          </w:p>
        </w:tc>
      </w:tr>
      <w:tr>
        <w:tblPrEx>
          <w:tblCellMar>
            <w:top w:w="0" w:type="dxa"/>
            <w:left w:w="108" w:type="dxa"/>
            <w:bottom w:w="0" w:type="dxa"/>
            <w:right w:w="108" w:type="dxa"/>
          </w:tblCellMar>
        </w:tblPrEx>
        <w:trPr>
          <w:trHeight w:val="300" w:hRule="atLeast"/>
        </w:trPr>
        <w:tc>
          <w:tcPr>
            <w:tcW w:w="5239" w:type="dxa"/>
            <w:gridSpan w:val="3"/>
            <w:tcBorders>
              <w:top w:val="nil"/>
              <w:left w:val="nil"/>
              <w:bottom w:val="nil"/>
              <w:right w:val="nil"/>
            </w:tcBorders>
            <w:shd w:val="clear" w:color="000000" w:fill="FFFFFF"/>
            <w:noWrap/>
            <w:vAlign w:val="center"/>
          </w:tcPr>
          <w:p>
            <w:pPr>
              <w:widowControl/>
              <w:jc w:val="left"/>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0"/>
                <w:szCs w:val="20"/>
              </w:rPr>
              <w:t>部门：湖南省农林工业勘察设计研究总</w:t>
            </w:r>
            <w:r>
              <w:rPr>
                <w:rFonts w:hint="eastAsia" w:ascii="Times New Roman" w:hAnsi="Times New Roman" w:eastAsia="宋体" w:cs="Times New Roman"/>
                <w:color w:val="auto"/>
                <w:kern w:val="0"/>
                <w:sz w:val="20"/>
                <w:szCs w:val="20"/>
                <w:lang w:eastAsia="zh-CN"/>
              </w:rPr>
              <w:t>院</w:t>
            </w:r>
          </w:p>
        </w:tc>
        <w:tc>
          <w:tcPr>
            <w:tcW w:w="3951"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459"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553"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382"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382"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555"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单位：万元</w:t>
            </w:r>
          </w:p>
        </w:tc>
      </w:tr>
      <w:tr>
        <w:tblPrEx>
          <w:tblCellMar>
            <w:top w:w="0" w:type="dxa"/>
            <w:left w:w="108" w:type="dxa"/>
            <w:bottom w:w="0" w:type="dxa"/>
            <w:right w:w="108" w:type="dxa"/>
          </w:tblCellMar>
        </w:tblPrEx>
        <w:trPr>
          <w:trHeight w:val="585" w:hRule="atLeast"/>
        </w:trPr>
        <w:tc>
          <w:tcPr>
            <w:tcW w:w="15521" w:type="dxa"/>
            <w:gridSpan w:val="9"/>
            <w:tcBorders>
              <w:top w:val="nil"/>
              <w:left w:val="nil"/>
              <w:bottom w:val="nil"/>
              <w:right w:val="nil"/>
            </w:tcBorders>
            <w:shd w:val="clear" w:color="auto" w:fill="auto"/>
            <w:vAlign w:val="center"/>
          </w:tcPr>
          <w:tbl>
            <w:tblPr>
              <w:tblStyle w:val="8"/>
              <w:tblW w:w="16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03"/>
              <w:gridCol w:w="547"/>
              <w:gridCol w:w="1548"/>
              <w:gridCol w:w="3870"/>
              <w:gridCol w:w="486"/>
              <w:gridCol w:w="1551"/>
              <w:gridCol w:w="1753"/>
              <w:gridCol w:w="1234"/>
              <w:gridCol w:w="1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540" w:type="dxa"/>
                  <w:gridSpan w:val="3"/>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收     入</w:t>
                  </w:r>
                </w:p>
              </w:tc>
              <w:tc>
                <w:tcPr>
                  <w:tcW w:w="11080" w:type="dxa"/>
                  <w:gridSpan w:val="6"/>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支     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280" w:type="dxa"/>
                  <w:vMerge w:val="restart"/>
                  <w:shd w:val="clear" w:color="auto" w:fill="auto"/>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项目</w:t>
                  </w:r>
                </w:p>
              </w:tc>
              <w:tc>
                <w:tcPr>
                  <w:tcW w:w="580" w:type="dxa"/>
                  <w:vMerge w:val="restart"/>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行次</w:t>
                  </w:r>
                </w:p>
              </w:tc>
              <w:tc>
                <w:tcPr>
                  <w:tcW w:w="1680" w:type="dxa"/>
                  <w:vMerge w:val="restart"/>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金额</w:t>
                  </w:r>
                </w:p>
              </w:tc>
              <w:tc>
                <w:tcPr>
                  <w:tcW w:w="4233" w:type="dxa"/>
                  <w:vMerge w:val="restart"/>
                  <w:shd w:val="clear" w:color="auto" w:fill="auto"/>
                  <w:vAlign w:val="bottom"/>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项目</w:t>
                  </w:r>
                </w:p>
              </w:tc>
              <w:tc>
                <w:tcPr>
                  <w:tcW w:w="513" w:type="dxa"/>
                  <w:vMerge w:val="restart"/>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行次</w:t>
                  </w:r>
                </w:p>
              </w:tc>
              <w:tc>
                <w:tcPr>
                  <w:tcW w:w="1683" w:type="dxa"/>
                  <w:vMerge w:val="restart"/>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合计</w:t>
                  </w:r>
                </w:p>
              </w:tc>
              <w:tc>
                <w:tcPr>
                  <w:tcW w:w="1905" w:type="dxa"/>
                  <w:vMerge w:val="restart"/>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一般公共预算财政拨款</w:t>
                  </w:r>
                </w:p>
              </w:tc>
              <w:tc>
                <w:tcPr>
                  <w:tcW w:w="1335" w:type="dxa"/>
                  <w:vMerge w:val="restart"/>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政府性基金预算财政拨款</w:t>
                  </w:r>
                </w:p>
              </w:tc>
              <w:tc>
                <w:tcPr>
                  <w:tcW w:w="1411" w:type="dxa"/>
                  <w:vMerge w:val="restart"/>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国有资本经营预算财政拨款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328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58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680"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4233"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513"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683"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905"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335" w:type="dxa"/>
                  <w:vMerge w:val="continue"/>
                  <w:vAlign w:val="center"/>
                </w:tcPr>
                <w:p>
                  <w:pPr>
                    <w:widowControl/>
                    <w:jc w:val="left"/>
                    <w:rPr>
                      <w:rFonts w:hint="default" w:ascii="Times New Roman" w:hAnsi="Times New Roman" w:eastAsia="宋体" w:cs="Times New Roman"/>
                      <w:color w:val="auto"/>
                      <w:kern w:val="0"/>
                      <w:sz w:val="20"/>
                      <w:szCs w:val="20"/>
                    </w:rPr>
                  </w:pPr>
                </w:p>
              </w:tc>
              <w:tc>
                <w:tcPr>
                  <w:tcW w:w="1411" w:type="dxa"/>
                  <w:vMerge w:val="continue"/>
                  <w:vAlign w:val="center"/>
                </w:tcPr>
                <w:p>
                  <w:pPr>
                    <w:widowControl/>
                    <w:jc w:val="left"/>
                    <w:rPr>
                      <w:rFonts w:hint="default" w:ascii="Times New Roman" w:hAnsi="Times New Roman" w:eastAsia="宋体" w:cs="Times New Roman"/>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栏次</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6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w:t>
                  </w:r>
                </w:p>
              </w:tc>
              <w:tc>
                <w:tcPr>
                  <w:tcW w:w="4233" w:type="dxa"/>
                  <w:shd w:val="clear" w:color="auto" w:fill="auto"/>
                  <w:noWrap/>
                  <w:vAlign w:val="bottom"/>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栏次</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68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w:t>
                  </w:r>
                </w:p>
              </w:tc>
              <w:tc>
                <w:tcPr>
                  <w:tcW w:w="1905"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w:t>
                  </w:r>
                </w:p>
              </w:tc>
              <w:tc>
                <w:tcPr>
                  <w:tcW w:w="1335"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w:t>
                  </w:r>
                </w:p>
              </w:tc>
              <w:tc>
                <w:tcPr>
                  <w:tcW w:w="1411"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一、一般公共预算财政拨款</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6437.26</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一、一般公共服务支出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33</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17.80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17.80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二、政府性基金预算财政拨款</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二、外交支出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34</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三、国有资本经营财政拨款</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三、国防支出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35</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四、公共安全支出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36</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五、教育支出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37</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6</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六、科学技术支出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38</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7</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七、文化旅游体育与传媒支出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39</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8</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八、社会保障和就业支出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40</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232.18</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232.18</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9</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九、卫生健康支出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41</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十、节能环保支出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42</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11</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十一、城乡社区支出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43</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12</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十二、农林水支出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44</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5823.08</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5823.08</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13</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十三、交通运输支出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45</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14</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十四、资源勘探工业信息等支出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46</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15</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十五、商业服务业等支出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47</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160.00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160.00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16</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十六、金融支出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48</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17</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十七、援助其他地区支出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49</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18</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十八、自然资源海洋气象等支出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50</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19</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十九、住房保障支出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51</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二十、粮油物资储备支出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52</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tcBorders>
                    <w:bottom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tcBorders>
                    <w:bottom w:val="single" w:color="000000"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w:t>
                  </w:r>
                </w:p>
              </w:tc>
              <w:tc>
                <w:tcPr>
                  <w:tcW w:w="1680" w:type="dxa"/>
                  <w:tcBorders>
                    <w:bottom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tcBorders>
                    <w:bottom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二十一、国有资本经营预算支出</w:t>
                  </w:r>
                </w:p>
              </w:tc>
              <w:tc>
                <w:tcPr>
                  <w:tcW w:w="513" w:type="dxa"/>
                  <w:tcBorders>
                    <w:bottom w:val="single" w:color="000000"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53</w:t>
                  </w:r>
                </w:p>
              </w:tc>
              <w:tc>
                <w:tcPr>
                  <w:tcW w:w="1683" w:type="dxa"/>
                  <w:tcBorders>
                    <w:bottom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tcBorders>
                    <w:bottom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tcBorders>
                    <w:bottom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tcBorders>
                    <w:bottom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tcBorders>
                    <w:bottom w:val="single" w:color="000000" w:themeColor="text1"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tcBorders>
                    <w:bottom w:val="single" w:color="000000" w:themeColor="text1"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22</w:t>
                  </w:r>
                </w:p>
              </w:tc>
              <w:tc>
                <w:tcPr>
                  <w:tcW w:w="1680" w:type="dxa"/>
                  <w:tcBorders>
                    <w:bottom w:val="single" w:color="000000" w:themeColor="text1"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tcBorders>
                    <w:bottom w:val="single" w:color="000000" w:themeColor="text1"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二十二、灾害防治及应急管理支出</w:t>
                  </w:r>
                </w:p>
              </w:tc>
              <w:tc>
                <w:tcPr>
                  <w:tcW w:w="513" w:type="dxa"/>
                  <w:tcBorders>
                    <w:bottom w:val="single" w:color="000000" w:themeColor="text1"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54</w:t>
                  </w:r>
                </w:p>
              </w:tc>
              <w:tc>
                <w:tcPr>
                  <w:tcW w:w="1683" w:type="dxa"/>
                  <w:tcBorders>
                    <w:bottom w:val="single" w:color="000000" w:themeColor="text1"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tcBorders>
                    <w:bottom w:val="single" w:color="000000" w:themeColor="text1"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tcBorders>
                    <w:bottom w:val="single" w:color="000000" w:themeColor="text1"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tcBorders>
                    <w:bottom w:val="single" w:color="000000" w:themeColor="text1"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23</w:t>
                  </w:r>
                </w:p>
              </w:tc>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二十三、其他支出</w:t>
                  </w:r>
                </w:p>
              </w:tc>
              <w:tc>
                <w:tcPr>
                  <w:tcW w:w="5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55</w:t>
                  </w:r>
                </w:p>
              </w:tc>
              <w:tc>
                <w:tcPr>
                  <w:tcW w:w="16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tcBorders>
                    <w:top w:val="single" w:color="000000" w:themeColor="text1" w:sz="4" w:space="0"/>
                  </w:tcBorders>
                  <w:shd w:val="clear" w:color="auto" w:fill="auto"/>
                  <w:noWrap/>
                  <w:vAlign w:val="center"/>
                </w:tcPr>
                <w:p>
                  <w:pPr>
                    <w:widowControl/>
                    <w:jc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　</w:t>
                  </w:r>
                </w:p>
              </w:tc>
              <w:tc>
                <w:tcPr>
                  <w:tcW w:w="580" w:type="dxa"/>
                  <w:tcBorders>
                    <w:top w:val="single" w:color="000000" w:themeColor="text1"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24</w:t>
                  </w:r>
                </w:p>
              </w:tc>
              <w:tc>
                <w:tcPr>
                  <w:tcW w:w="1680" w:type="dxa"/>
                  <w:tcBorders>
                    <w:top w:val="single" w:color="000000" w:themeColor="text1"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tcBorders>
                    <w:top w:val="single" w:color="000000" w:themeColor="text1"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二十四、债务还本支出</w:t>
                  </w:r>
                </w:p>
              </w:tc>
              <w:tc>
                <w:tcPr>
                  <w:tcW w:w="513" w:type="dxa"/>
                  <w:tcBorders>
                    <w:top w:val="single" w:color="000000" w:themeColor="text1"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56</w:t>
                  </w:r>
                </w:p>
              </w:tc>
              <w:tc>
                <w:tcPr>
                  <w:tcW w:w="1683" w:type="dxa"/>
                  <w:tcBorders>
                    <w:top w:val="single" w:color="000000" w:themeColor="text1"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tcBorders>
                    <w:top w:val="single" w:color="000000" w:themeColor="text1"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tcBorders>
                    <w:top w:val="single" w:color="000000" w:themeColor="text1"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tcBorders>
                    <w:top w:val="single" w:color="000000" w:themeColor="text1"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25</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二十五、债务付息支出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57</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26</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二十六、抗疫特别国债安排的支出</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58</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本年收入合计</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27</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6437.26</w:t>
                  </w:r>
                </w:p>
              </w:tc>
              <w:tc>
                <w:tcPr>
                  <w:tcW w:w="4233" w:type="dxa"/>
                  <w:shd w:val="clear" w:color="auto" w:fill="auto"/>
                  <w:noWrap/>
                  <w:vAlign w:val="center"/>
                </w:tcPr>
                <w:p>
                  <w:pPr>
                    <w:widowControl/>
                    <w:jc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本年支出合计</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59</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6533.06</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6533.06</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年初财政拨款结转和结余</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28</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100.00</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年末财政拨款结转和结余</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60</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4.19</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4.19</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一般公共预算财政拨款</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29</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100.00</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61</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政府性基金预算财政拨款</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30</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62</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国有资本经营预算财政拨款</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31</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4233" w:type="dxa"/>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63</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80"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总计</w:t>
                  </w:r>
                </w:p>
              </w:tc>
              <w:tc>
                <w:tcPr>
                  <w:tcW w:w="580"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32</w:t>
                  </w:r>
                </w:p>
              </w:tc>
              <w:tc>
                <w:tcPr>
                  <w:tcW w:w="1680"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6537.26</w:t>
                  </w:r>
                </w:p>
              </w:tc>
              <w:tc>
                <w:tcPr>
                  <w:tcW w:w="4233" w:type="dxa"/>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总计</w:t>
                  </w:r>
                </w:p>
              </w:tc>
              <w:tc>
                <w:tcPr>
                  <w:tcW w:w="513" w:type="dxa"/>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64</w:t>
                  </w:r>
                </w:p>
              </w:tc>
              <w:tc>
                <w:tcPr>
                  <w:tcW w:w="1683"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6537.26</w:t>
                  </w:r>
                </w:p>
              </w:tc>
              <w:tc>
                <w:tcPr>
                  <w:tcW w:w="190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6537.26</w:t>
                  </w:r>
                </w:p>
              </w:tc>
              <w:tc>
                <w:tcPr>
                  <w:tcW w:w="1335"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1411" w:type="dxa"/>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bl>
          <w:p>
            <w:pPr>
              <w:widowControl/>
              <w:jc w:val="left"/>
              <w:rPr>
                <w:rFonts w:hint="default" w:ascii="Times New Roman" w:hAnsi="Times New Roman" w:eastAsia="宋体" w:cs="Times New Roman"/>
                <w:color w:val="auto"/>
                <w:kern w:val="0"/>
                <w:sz w:val="24"/>
                <w:szCs w:val="24"/>
              </w:rPr>
            </w:pPr>
          </w:p>
          <w:p>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2"/>
          <w:szCs w:val="32"/>
        </w:rPr>
      </w:pPr>
      <w:r>
        <w:rPr>
          <w:rFonts w:hint="default" w:ascii="Times New Roman" w:hAnsi="Times New Roman" w:eastAsia="方正小标宋_GBK" w:cs="Times New Roman"/>
          <w:color w:val="auto"/>
          <w:kern w:val="0"/>
          <w:sz w:val="32"/>
          <w:szCs w:val="32"/>
        </w:rPr>
        <w:t>一般公共预算财政拨款支出决算表</w:t>
      </w:r>
      <w:bookmarkEnd w:id="1"/>
    </w:p>
    <w:p>
      <w:pPr>
        <w:widowControl/>
        <w:spacing w:before="156" w:beforeLines="5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w:t>
      </w:r>
      <w:r>
        <w:rPr>
          <w:rFonts w:hint="default" w:ascii="Times New Roman" w:hAnsi="Times New Roman" w:eastAsia="仿宋_GB2312" w:cs="Times New Roman"/>
          <w:color w:val="auto"/>
          <w:kern w:val="0"/>
          <w:sz w:val="20"/>
          <w:szCs w:val="20"/>
        </w:rPr>
        <w:t xml:space="preserve">  部门：湖南省农林工业勘察设计研究总院</w:t>
      </w:r>
      <w:r>
        <w:rPr>
          <w:rFonts w:hint="default" w:ascii="Times New Roman" w:hAnsi="Times New Roman" w:eastAsia="仿宋_GB2312" w:cs="Times New Roman"/>
          <w:color w:val="auto"/>
          <w:kern w:val="0"/>
          <w:szCs w:val="21"/>
        </w:rPr>
        <w:t xml:space="preserve">                                                                                            公开05表</w:t>
      </w:r>
    </w:p>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仿宋_GB2312" w:cs="Times New Roman"/>
          <w:color w:val="auto"/>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4219"/>
      </w:tblGrid>
      <w:tr>
        <w:tblPrEx>
          <w:tblCellMar>
            <w:top w:w="0" w:type="dxa"/>
            <w:left w:w="108" w:type="dxa"/>
            <w:bottom w:w="0" w:type="dxa"/>
            <w:right w:w="108" w:type="dxa"/>
          </w:tblCellMar>
        </w:tblPrEx>
        <w:trPr>
          <w:trHeight w:val="645" w:hRule="atLeast"/>
          <w:jc w:val="center"/>
        </w:trPr>
        <w:tc>
          <w:tcPr>
            <w:tcW w:w="14219" w:type="dxa"/>
            <w:tcBorders>
              <w:top w:val="nil"/>
              <w:left w:val="nil"/>
              <w:bottom w:val="nil"/>
              <w:right w:val="nil"/>
            </w:tcBorders>
            <w:shd w:val="clear" w:color="auto" w:fill="auto"/>
            <w:vAlign w:val="center"/>
          </w:tcPr>
          <w:tbl>
            <w:tblPr>
              <w:tblStyle w:val="8"/>
              <w:tblW w:w="4999" w:type="pct"/>
              <w:tblInd w:w="0" w:type="dxa"/>
              <w:tblLayout w:type="autofit"/>
              <w:tblCellMar>
                <w:top w:w="0" w:type="dxa"/>
                <w:left w:w="108" w:type="dxa"/>
                <w:bottom w:w="0" w:type="dxa"/>
                <w:right w:w="108" w:type="dxa"/>
              </w:tblCellMar>
            </w:tblPr>
            <w:tblGrid>
              <w:gridCol w:w="1212"/>
              <w:gridCol w:w="4688"/>
              <w:gridCol w:w="2700"/>
              <w:gridCol w:w="2700"/>
              <w:gridCol w:w="2700"/>
            </w:tblGrid>
            <w:tr>
              <w:tblPrEx>
                <w:tblCellMar>
                  <w:top w:w="0" w:type="dxa"/>
                  <w:left w:w="108" w:type="dxa"/>
                  <w:bottom w:w="0" w:type="dxa"/>
                  <w:right w:w="108" w:type="dxa"/>
                </w:tblCellMar>
              </w:tblPrEx>
              <w:trPr>
                <w:trHeight w:val="300" w:hRule="atLeast"/>
              </w:trPr>
              <w:tc>
                <w:tcPr>
                  <w:tcW w:w="21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项目</w:t>
                  </w:r>
                </w:p>
              </w:tc>
              <w:tc>
                <w:tcPr>
                  <w:tcW w:w="2892"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本年支出</w:t>
                  </w:r>
                </w:p>
              </w:tc>
            </w:tr>
            <w:tr>
              <w:tblPrEx>
                <w:tblCellMar>
                  <w:top w:w="0" w:type="dxa"/>
                  <w:left w:w="108" w:type="dxa"/>
                  <w:bottom w:w="0" w:type="dxa"/>
                  <w:right w:w="108" w:type="dxa"/>
                </w:tblCellMar>
              </w:tblPrEx>
              <w:trPr>
                <w:trHeight w:val="312" w:hRule="atLeast"/>
              </w:trPr>
              <w:tc>
                <w:tcPr>
                  <w:tcW w:w="433"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功能分类科目编码</w:t>
                  </w:r>
                </w:p>
              </w:tc>
              <w:tc>
                <w:tcPr>
                  <w:tcW w:w="1673" w:type="pct"/>
                  <w:vMerge w:val="restart"/>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科目名称</w:t>
                  </w:r>
                </w:p>
              </w:tc>
              <w:tc>
                <w:tcPr>
                  <w:tcW w:w="964"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小计</w:t>
                  </w:r>
                </w:p>
              </w:tc>
              <w:tc>
                <w:tcPr>
                  <w:tcW w:w="964"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基本支出</w:t>
                  </w:r>
                </w:p>
              </w:tc>
              <w:tc>
                <w:tcPr>
                  <w:tcW w:w="964"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项目支出</w:t>
                  </w:r>
                </w:p>
              </w:tc>
            </w:tr>
            <w:tr>
              <w:tblPrEx>
                <w:tblCellMar>
                  <w:top w:w="0" w:type="dxa"/>
                  <w:left w:w="108" w:type="dxa"/>
                  <w:bottom w:w="0" w:type="dxa"/>
                  <w:right w:w="108" w:type="dxa"/>
                </w:tblCellMar>
              </w:tblPrEx>
              <w:trPr>
                <w:trHeight w:val="312" w:hRule="atLeast"/>
              </w:trPr>
              <w:tc>
                <w:tcPr>
                  <w:tcW w:w="433"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673" w:type="pct"/>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964" w:type="pct"/>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964" w:type="pct"/>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964" w:type="pct"/>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312" w:hRule="atLeast"/>
              </w:trPr>
              <w:tc>
                <w:tcPr>
                  <w:tcW w:w="433"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673" w:type="pct"/>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964" w:type="pct"/>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964" w:type="pct"/>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964" w:type="pct"/>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300" w:hRule="atLeast"/>
              </w:trPr>
              <w:tc>
                <w:tcPr>
                  <w:tcW w:w="210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栏次</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w:t>
                  </w:r>
                </w:p>
              </w:tc>
            </w:tr>
            <w:tr>
              <w:tblPrEx>
                <w:tblCellMar>
                  <w:top w:w="0" w:type="dxa"/>
                  <w:left w:w="108" w:type="dxa"/>
                  <w:bottom w:w="0" w:type="dxa"/>
                  <w:right w:w="108" w:type="dxa"/>
                </w:tblCellMar>
              </w:tblPrEx>
              <w:trPr>
                <w:trHeight w:val="300" w:hRule="atLeast"/>
              </w:trPr>
              <w:tc>
                <w:tcPr>
                  <w:tcW w:w="210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合计</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6533.06</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2734.26</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3798.80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201</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一般公共服务支出</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17.80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17.80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20104</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发展与改革事务</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17.80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17.80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2010499</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其他发展与改革事务支出</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17.80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17.80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206</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科学技术支出</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200.00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20603</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应用研究</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200.00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2060303</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高技术研究</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200.00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208</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社会保障和就业支出</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232.18</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232.18</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20805</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行政事业单位养老支出</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232.18</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232.18</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2080501</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行政单位离退休</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0.76</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0.76</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2080502</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事业单位离退休</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0.44</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0.44</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2080505</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机关事业单位基本养老保险缴费支出</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100.98</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100.98</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2080506</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机关事业单位职业年金缴费支出</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130.00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130.00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213</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农林水支出</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5823.08</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2502.08</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3321.00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21301</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农业农村</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246.00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246.00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2130104</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事业运行</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246.00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246.00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21302</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林业和草原</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5577.08</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2502.08</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3075.00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2130204</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事业机构</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2502.08</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2502.08</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2130206</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技术推广与转化</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108.00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108.00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2130207</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森林资源管理</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1188.00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1188.00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2130209</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森林生态效益补偿</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709.00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709.00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2130211</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动植物保护</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881.00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881.00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2130212</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湿地保护</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50.00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2130220</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对外合作与交流</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35.00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35.00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2130299</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其他林业和草原支出</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104.00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104.00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216</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商业服务业等支出</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160.00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160.00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21699</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其他商业服务业等支出</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160.00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160.00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2169999</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其他商业服务业等支出</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160.00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160.00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220</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自然资源海洋气象等支出</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100.00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100.00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22001</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自然资源事务</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100.00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100.00</w:t>
                  </w:r>
                </w:p>
              </w:tc>
            </w:tr>
            <w:tr>
              <w:tblPrEx>
                <w:tblCellMar>
                  <w:top w:w="0" w:type="dxa"/>
                  <w:left w:w="108" w:type="dxa"/>
                  <w:bottom w:w="0" w:type="dxa"/>
                  <w:right w:w="108" w:type="dxa"/>
                </w:tblCellMar>
              </w:tblPrEx>
              <w:trPr>
                <w:trHeight w:val="300" w:hRule="atLeast"/>
              </w:trPr>
              <w:tc>
                <w:tcPr>
                  <w:tcW w:w="4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2200109</w:t>
                  </w:r>
                </w:p>
              </w:tc>
              <w:tc>
                <w:tcPr>
                  <w:tcW w:w="1673" w:type="pct"/>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自然资源调查与确权登记</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964"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100.00</w:t>
                  </w:r>
                </w:p>
              </w:tc>
            </w:tr>
          </w:tbl>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注：本表反映部门本年度一般公共预算财政拨款支出情况。</w:t>
            </w:r>
          </w:p>
        </w:tc>
      </w:tr>
    </w:tbl>
    <w:p>
      <w:pPr>
        <w:widowControl/>
        <w:jc w:val="left"/>
        <w:rPr>
          <w:rFonts w:hint="default" w:ascii="Times New Roman" w:hAnsi="Times New Roman" w:eastAsia="仿宋_GB2312" w:cs="Times New Roman"/>
          <w:bCs/>
          <w:color w:val="auto"/>
          <w:kern w:val="0"/>
          <w:szCs w:val="21"/>
        </w:rPr>
      </w:pPr>
    </w:p>
    <w:p>
      <w:pPr>
        <w:widowControl/>
        <w:jc w:val="left"/>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br w:type="page"/>
      </w:r>
    </w:p>
    <w:tbl>
      <w:tblPr>
        <w:tblStyle w:val="8"/>
        <w:tblW w:w="0" w:type="auto"/>
        <w:tblInd w:w="0" w:type="dxa"/>
        <w:tblLayout w:type="autofit"/>
        <w:tblCellMar>
          <w:top w:w="0" w:type="dxa"/>
          <w:left w:w="108" w:type="dxa"/>
          <w:bottom w:w="0" w:type="dxa"/>
          <w:right w:w="108" w:type="dxa"/>
        </w:tblCellMar>
      </w:tblPr>
      <w:tblGrid>
        <w:gridCol w:w="15614"/>
      </w:tblGrid>
      <w:tr>
        <w:tblPrEx>
          <w:tblCellMar>
            <w:top w:w="0" w:type="dxa"/>
            <w:left w:w="108" w:type="dxa"/>
            <w:bottom w:w="0" w:type="dxa"/>
            <w:right w:w="108" w:type="dxa"/>
          </w:tblCellMar>
        </w:tblPrEx>
        <w:trPr>
          <w:trHeight w:val="113"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华文中宋" w:cs="Times New Roman"/>
                <w:color w:val="auto"/>
                <w:kern w:val="0"/>
                <w:sz w:val="32"/>
                <w:szCs w:val="32"/>
              </w:rPr>
            </w:pPr>
            <w:bookmarkStart w:id="2" w:name="RANGE!A1:I34"/>
            <w:r>
              <w:rPr>
                <w:rFonts w:hint="default" w:ascii="Times New Roman" w:hAnsi="Times New Roman" w:eastAsia="华文中宋" w:cs="Times New Roman"/>
                <w:color w:val="auto"/>
                <w:kern w:val="0"/>
                <w:sz w:val="32"/>
                <w:szCs w:val="32"/>
              </w:rPr>
              <w:t>一般公共预算财政拨款基本支出决算明细表</w:t>
            </w:r>
            <w:bookmarkEnd w:id="2"/>
          </w:p>
          <w:p>
            <w:pPr>
              <w:widowControl/>
              <w:wordWrap w:val="0"/>
              <w:jc w:val="righ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部门： 湖南省农林工业勘察设计研究总院                                                                                                 公开06表</w:t>
            </w:r>
          </w:p>
          <w:p>
            <w:pPr>
              <w:widowControl/>
              <w:jc w:val="righ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单位：万元</w:t>
            </w:r>
          </w:p>
          <w:tbl>
            <w:tblPr>
              <w:tblStyle w:val="8"/>
              <w:tblW w:w="18420" w:type="dxa"/>
              <w:tblInd w:w="0" w:type="dxa"/>
              <w:tblLayout w:type="autofit"/>
              <w:tblCellMar>
                <w:top w:w="0" w:type="dxa"/>
                <w:left w:w="108" w:type="dxa"/>
                <w:bottom w:w="0" w:type="dxa"/>
                <w:right w:w="108" w:type="dxa"/>
              </w:tblCellMar>
            </w:tblPr>
            <w:tblGrid>
              <w:gridCol w:w="643"/>
              <w:gridCol w:w="2913"/>
              <w:gridCol w:w="1509"/>
              <w:gridCol w:w="644"/>
              <w:gridCol w:w="2309"/>
              <w:gridCol w:w="1509"/>
              <w:gridCol w:w="644"/>
              <w:gridCol w:w="3713"/>
              <w:gridCol w:w="1509"/>
            </w:tblGrid>
            <w:tr>
              <w:tblPrEx>
                <w:tblCellMar>
                  <w:top w:w="0" w:type="dxa"/>
                  <w:left w:w="108" w:type="dxa"/>
                  <w:bottom w:w="0" w:type="dxa"/>
                  <w:right w:w="108" w:type="dxa"/>
                </w:tblCellMar>
              </w:tblPrEx>
              <w:trPr>
                <w:trHeight w:val="300" w:hRule="atLeast"/>
              </w:trPr>
              <w:tc>
                <w:tcPr>
                  <w:tcW w:w="60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人员经费</w:t>
                  </w:r>
                </w:p>
              </w:tc>
              <w:tc>
                <w:tcPr>
                  <w:tcW w:w="12360"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公用经费</w:t>
                  </w:r>
                </w:p>
              </w:tc>
            </w:tr>
            <w:tr>
              <w:tblPrEx>
                <w:tblCellMar>
                  <w:top w:w="0" w:type="dxa"/>
                  <w:left w:w="108" w:type="dxa"/>
                  <w:bottom w:w="0" w:type="dxa"/>
                  <w:right w:w="108" w:type="dxa"/>
                </w:tblCellMar>
              </w:tblPrEx>
              <w:trPr>
                <w:trHeight w:val="312" w:hRule="atLeast"/>
              </w:trPr>
              <w:tc>
                <w:tcPr>
                  <w:tcW w:w="7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科目编码</w:t>
                  </w:r>
                </w:p>
              </w:tc>
              <w:tc>
                <w:tcPr>
                  <w:tcW w:w="35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科目名称</w:t>
                  </w:r>
                </w:p>
              </w:tc>
              <w:tc>
                <w:tcPr>
                  <w:tcW w:w="18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决算数</w:t>
                  </w:r>
                </w:p>
              </w:tc>
              <w:tc>
                <w:tcPr>
                  <w:tcW w:w="7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科目编码</w:t>
                  </w:r>
                </w:p>
              </w:tc>
              <w:tc>
                <w:tcPr>
                  <w:tcW w:w="27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科目名称</w:t>
                  </w:r>
                </w:p>
              </w:tc>
              <w:tc>
                <w:tcPr>
                  <w:tcW w:w="18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决算数</w:t>
                  </w:r>
                </w:p>
              </w:tc>
              <w:tc>
                <w:tcPr>
                  <w:tcW w:w="7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科目编码</w:t>
                  </w:r>
                </w:p>
              </w:tc>
              <w:tc>
                <w:tcPr>
                  <w:tcW w:w="4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科目名称</w:t>
                  </w:r>
                </w:p>
              </w:tc>
              <w:tc>
                <w:tcPr>
                  <w:tcW w:w="18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决算数</w:t>
                  </w:r>
                </w:p>
              </w:tc>
            </w:tr>
            <w:tr>
              <w:tblPrEx>
                <w:tblCellMar>
                  <w:top w:w="0" w:type="dxa"/>
                  <w:left w:w="108" w:type="dxa"/>
                  <w:bottom w:w="0" w:type="dxa"/>
                  <w:right w:w="108" w:type="dxa"/>
                </w:tblCellMar>
              </w:tblPrEx>
              <w:trPr>
                <w:trHeight w:val="312" w:hRule="atLeast"/>
              </w:trPr>
              <w:tc>
                <w:tcPr>
                  <w:tcW w:w="74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352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74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278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74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45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301</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工资福利支出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2232.26</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302</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商品和服务支出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420.80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307</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债务利息及费用支出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30101</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基本工资</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1784.70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30201</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办公费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30701</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国内债务付息</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30102</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津贴补贴</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30202</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印刷费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30702</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国外债务付息</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30103</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奖金</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30203</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咨询费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资本性支出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30106</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伙食补助费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30204</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手续费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31001</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房屋建筑物购建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30107</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绩效工资</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30205</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水费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31002</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办公设备购置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30108</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机关事业单位基本养老保险缴费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100.98</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30206</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电费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31003</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专用设备购置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30109</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职业年金缴费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80.00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30207</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邮电费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31005</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基础设施建设</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30110</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职工基本医疗保险缴费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30208</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取暖费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31006</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大型修缮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30111</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公务员医疗补助缴费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30209</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物业管理费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31007</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信息网络及软件购置更新</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30112</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其他社会保障缴费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16.58</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30211</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差旅费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31008</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物资储备</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30113</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住房公积金</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30212</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因公出国（境）费用</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31009</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土地补偿</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30114</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医疗费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30213</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维修（护）费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15.00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31010</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安置补助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30199</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其他工资福利支出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30214</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租赁费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31011</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地上附着物和青苗补偿</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303</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对个人和家庭的补助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81.20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30215</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会议费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31012</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拆迁补偿</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30301</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离休费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30216</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培训费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31013</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公务用车购置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30302</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退休费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30217</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公务接待费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0.80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31019</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其他交通工具购置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30303</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退职（役）费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30218</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专用材料费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31021</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文物和陈列品购置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30304</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抚恤金</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30224</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被装购置费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31022</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无形资产购置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30305</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生活补助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10.60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30225</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专用燃料费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31099</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其他资本性支出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30306</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救济费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30226</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劳务费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100.00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399</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其他支出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30307</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医疗费补助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50.60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30227</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委托业务费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39906</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赠与</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30308</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助学金</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30228</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工会经费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39907</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国家赔偿费用支出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30309</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奖励金</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30229</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福利费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39908</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对民间非营利组织和群众性自治组织补贴</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30310</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个人农业生产补贴</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30231</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公务用车运行维护费</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39999</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30311</w:t>
                  </w:r>
                </w:p>
              </w:tc>
              <w:tc>
                <w:tcPr>
                  <w:tcW w:w="3520"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代缴社会保险费</w:t>
                  </w:r>
                </w:p>
              </w:tc>
              <w:tc>
                <w:tcPr>
                  <w:tcW w:w="18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30239</w:t>
                  </w:r>
                </w:p>
              </w:tc>
              <w:tc>
                <w:tcPr>
                  <w:tcW w:w="2780"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其他交通费用</w:t>
                  </w:r>
                </w:p>
              </w:tc>
              <w:tc>
                <w:tcPr>
                  <w:tcW w:w="18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500"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8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30399</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其他对个人和家庭的补助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30240</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税金及附加费用</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30299</w:t>
                  </w:r>
                </w:p>
              </w:tc>
              <w:tc>
                <w:tcPr>
                  <w:tcW w:w="278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其他商品和服务支出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70.00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5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r>
            <w:tr>
              <w:tblPrEx>
                <w:tblCellMar>
                  <w:top w:w="0" w:type="dxa"/>
                  <w:left w:w="108" w:type="dxa"/>
                  <w:bottom w:w="0" w:type="dxa"/>
                  <w:right w:w="108" w:type="dxa"/>
                </w:tblCellMar>
              </w:tblPrEx>
              <w:trPr>
                <w:trHeight w:val="300" w:hRule="atLeast"/>
              </w:trPr>
              <w:tc>
                <w:tcPr>
                  <w:tcW w:w="426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人员经费合计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2313.46</w:t>
                  </w:r>
                </w:p>
              </w:tc>
              <w:tc>
                <w:tcPr>
                  <w:tcW w:w="10560"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公用经费合计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420.80</w:t>
                  </w:r>
                </w:p>
              </w:tc>
            </w:tr>
          </w:tbl>
          <w:p>
            <w:pPr>
              <w:widowControl/>
              <w:jc w:val="right"/>
              <w:rPr>
                <w:rFonts w:hint="default" w:ascii="Times New Roman" w:hAnsi="Times New Roman" w:eastAsia="华文中宋" w:cs="Times New Roman"/>
                <w:color w:val="auto"/>
                <w:kern w:val="0"/>
                <w:szCs w:val="32"/>
              </w:rPr>
            </w:pPr>
          </w:p>
        </w:tc>
      </w:tr>
      <w:tr>
        <w:tblPrEx>
          <w:tblCellMar>
            <w:top w:w="0" w:type="dxa"/>
            <w:left w:w="108" w:type="dxa"/>
            <w:bottom w:w="0" w:type="dxa"/>
            <w:right w:w="108" w:type="dxa"/>
          </w:tblCellMar>
        </w:tblPrEx>
        <w:trPr>
          <w:trHeight w:val="284" w:hRule="exact"/>
        </w:trPr>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auto"/>
                <w:kern w:val="0"/>
                <w:szCs w:val="24"/>
              </w:rPr>
            </w:pPr>
            <w:r>
              <w:rPr>
                <w:rFonts w:hint="default" w:ascii="Times New Roman" w:hAnsi="Times New Roman" w:eastAsia="宋体" w:cs="Times New Roman"/>
                <w:color w:val="auto"/>
                <w:kern w:val="0"/>
                <w:szCs w:val="24"/>
              </w:rPr>
              <w:t>注：本表反映部门本年度一般公共预算财政拨款基本支出明细情况。</w:t>
            </w:r>
          </w:p>
        </w:tc>
      </w:tr>
      <w:tr>
        <w:tblPrEx>
          <w:tblCellMar>
            <w:top w:w="0" w:type="dxa"/>
            <w:left w:w="108" w:type="dxa"/>
            <w:bottom w:w="0" w:type="dxa"/>
            <w:right w:w="108" w:type="dxa"/>
          </w:tblCellMar>
        </w:tblPrEx>
        <w:trPr>
          <w:trHeight w:val="284" w:hRule="exact"/>
        </w:trPr>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auto"/>
                <w:kern w:val="0"/>
                <w:szCs w:val="24"/>
              </w:rPr>
            </w:pPr>
          </w:p>
          <w:p>
            <w:pPr>
              <w:widowControl/>
              <w:jc w:val="left"/>
              <w:rPr>
                <w:rFonts w:hint="default" w:ascii="Times New Roman" w:hAnsi="Times New Roman" w:eastAsia="宋体" w:cs="Times New Roman"/>
                <w:color w:val="auto"/>
                <w:kern w:val="0"/>
                <w:szCs w:val="24"/>
              </w:rPr>
            </w:pPr>
          </w:p>
          <w:p>
            <w:pPr>
              <w:widowControl/>
              <w:jc w:val="left"/>
              <w:rPr>
                <w:rFonts w:hint="default" w:ascii="Times New Roman" w:hAnsi="Times New Roman" w:eastAsia="宋体" w:cs="Times New Roman"/>
                <w:color w:val="auto"/>
                <w:kern w:val="0"/>
                <w:szCs w:val="24"/>
              </w:rPr>
            </w:pPr>
          </w:p>
          <w:p>
            <w:pPr>
              <w:widowControl/>
              <w:jc w:val="left"/>
              <w:rPr>
                <w:rFonts w:hint="default" w:ascii="Times New Roman" w:hAnsi="Times New Roman" w:eastAsia="宋体" w:cs="Times New Roman"/>
                <w:color w:val="auto"/>
                <w:kern w:val="0"/>
                <w:szCs w:val="24"/>
              </w:rPr>
            </w:pPr>
          </w:p>
          <w:p>
            <w:pPr>
              <w:widowControl/>
              <w:jc w:val="left"/>
              <w:rPr>
                <w:rFonts w:hint="default" w:ascii="Times New Roman" w:hAnsi="Times New Roman" w:eastAsia="宋体" w:cs="Times New Roman"/>
                <w:color w:val="auto"/>
                <w:kern w:val="0"/>
                <w:szCs w:val="24"/>
              </w:rPr>
            </w:pPr>
          </w:p>
        </w:tc>
      </w:tr>
      <w:tr>
        <w:tblPrEx>
          <w:tblCellMar>
            <w:top w:w="0" w:type="dxa"/>
            <w:left w:w="108" w:type="dxa"/>
            <w:bottom w:w="0" w:type="dxa"/>
            <w:right w:w="108" w:type="dxa"/>
          </w:tblCellMar>
        </w:tblPrEx>
        <w:trPr>
          <w:trHeight w:val="284" w:hRule="exact"/>
        </w:trPr>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auto"/>
                <w:kern w:val="0"/>
                <w:szCs w:val="24"/>
              </w:rPr>
            </w:pPr>
          </w:p>
          <w:p>
            <w:pPr>
              <w:widowControl/>
              <w:jc w:val="left"/>
              <w:rPr>
                <w:rFonts w:hint="default" w:ascii="Times New Roman" w:hAnsi="Times New Roman" w:eastAsia="宋体" w:cs="Times New Roman"/>
                <w:color w:val="auto"/>
                <w:kern w:val="0"/>
                <w:szCs w:val="24"/>
              </w:rPr>
            </w:pPr>
          </w:p>
        </w:tc>
      </w:tr>
      <w:tr>
        <w:tblPrEx>
          <w:tblCellMar>
            <w:top w:w="0" w:type="dxa"/>
            <w:left w:w="108" w:type="dxa"/>
            <w:bottom w:w="0" w:type="dxa"/>
            <w:right w:w="108" w:type="dxa"/>
          </w:tblCellMar>
        </w:tblPrEx>
        <w:trPr>
          <w:trHeight w:val="284" w:hRule="exact"/>
        </w:trPr>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auto"/>
                <w:kern w:val="0"/>
                <w:szCs w:val="24"/>
              </w:rPr>
            </w:pPr>
          </w:p>
          <w:p>
            <w:pPr>
              <w:widowControl/>
              <w:jc w:val="left"/>
              <w:rPr>
                <w:rFonts w:hint="default" w:ascii="Times New Roman" w:hAnsi="Times New Roman" w:eastAsia="宋体" w:cs="Times New Roman"/>
                <w:color w:val="auto"/>
                <w:kern w:val="0"/>
                <w:szCs w:val="24"/>
              </w:rPr>
            </w:pPr>
          </w:p>
          <w:p>
            <w:pPr>
              <w:widowControl/>
              <w:jc w:val="left"/>
              <w:rPr>
                <w:rFonts w:hint="default" w:ascii="Times New Roman" w:hAnsi="Times New Roman" w:eastAsia="宋体" w:cs="Times New Roman"/>
                <w:color w:val="auto"/>
                <w:kern w:val="0"/>
                <w:szCs w:val="24"/>
              </w:rPr>
            </w:pPr>
          </w:p>
          <w:p>
            <w:pPr>
              <w:widowControl/>
              <w:jc w:val="left"/>
              <w:rPr>
                <w:rFonts w:hint="default" w:ascii="Times New Roman" w:hAnsi="Times New Roman" w:eastAsia="宋体" w:cs="Times New Roman"/>
                <w:color w:val="auto"/>
                <w:kern w:val="0"/>
                <w:szCs w:val="24"/>
              </w:rPr>
            </w:pPr>
          </w:p>
          <w:p>
            <w:pPr>
              <w:widowControl/>
              <w:jc w:val="left"/>
              <w:rPr>
                <w:rFonts w:hint="default" w:ascii="Times New Roman" w:hAnsi="Times New Roman" w:eastAsia="宋体" w:cs="Times New Roman"/>
                <w:color w:val="auto"/>
                <w:kern w:val="0"/>
                <w:szCs w:val="24"/>
              </w:rPr>
            </w:pPr>
          </w:p>
          <w:p>
            <w:pPr>
              <w:widowControl/>
              <w:jc w:val="left"/>
              <w:rPr>
                <w:rFonts w:hint="default" w:ascii="Times New Roman" w:hAnsi="Times New Roman" w:eastAsia="宋体" w:cs="Times New Roman"/>
                <w:color w:val="auto"/>
                <w:kern w:val="0"/>
                <w:szCs w:val="24"/>
              </w:rPr>
            </w:pPr>
          </w:p>
        </w:tc>
      </w:tr>
      <w:tr>
        <w:tblPrEx>
          <w:tblCellMar>
            <w:top w:w="0" w:type="dxa"/>
            <w:left w:w="108" w:type="dxa"/>
            <w:bottom w:w="0" w:type="dxa"/>
            <w:right w:w="108" w:type="dxa"/>
          </w:tblCellMar>
        </w:tblPrEx>
        <w:trPr>
          <w:trHeight w:val="284" w:hRule="exact"/>
        </w:trPr>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auto"/>
                <w:kern w:val="0"/>
                <w:szCs w:val="24"/>
              </w:rPr>
            </w:pPr>
          </w:p>
          <w:p>
            <w:pPr>
              <w:widowControl/>
              <w:jc w:val="left"/>
              <w:rPr>
                <w:rFonts w:hint="default" w:ascii="Times New Roman" w:hAnsi="Times New Roman" w:eastAsia="宋体" w:cs="Times New Roman"/>
                <w:color w:val="auto"/>
                <w:kern w:val="0"/>
                <w:szCs w:val="24"/>
              </w:rPr>
            </w:pPr>
          </w:p>
          <w:p>
            <w:pPr>
              <w:widowControl/>
              <w:jc w:val="left"/>
              <w:rPr>
                <w:rFonts w:hint="default" w:ascii="Times New Roman" w:hAnsi="Times New Roman" w:eastAsia="宋体" w:cs="Times New Roman"/>
                <w:color w:val="auto"/>
                <w:kern w:val="0"/>
                <w:szCs w:val="24"/>
              </w:rPr>
            </w:pPr>
          </w:p>
        </w:tc>
      </w:tr>
      <w:tr>
        <w:tblPrEx>
          <w:tblCellMar>
            <w:top w:w="0" w:type="dxa"/>
            <w:left w:w="108" w:type="dxa"/>
            <w:bottom w:w="0" w:type="dxa"/>
            <w:right w:w="108" w:type="dxa"/>
          </w:tblCellMar>
        </w:tblPrEx>
        <w:trPr>
          <w:trHeight w:val="284" w:hRule="exact"/>
        </w:trPr>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auto"/>
                <w:kern w:val="0"/>
                <w:szCs w:val="24"/>
              </w:rPr>
            </w:pPr>
          </w:p>
        </w:tc>
      </w:tr>
    </w:tbl>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6"/>
          <w:szCs w:val="36"/>
        </w:rPr>
      </w:pPr>
    </w:p>
    <w:p>
      <w:pPr>
        <w:widowControl/>
        <w:jc w:val="center"/>
        <w:rPr>
          <w:rFonts w:hint="default" w:ascii="Times New Roman" w:hAnsi="Times New Roman" w:eastAsia="方正小标宋_GBK" w:cs="Times New Roman"/>
          <w:color w:val="auto"/>
          <w:kern w:val="0"/>
          <w:sz w:val="32"/>
          <w:szCs w:val="32"/>
        </w:rPr>
      </w:pPr>
      <w:r>
        <w:rPr>
          <w:rFonts w:hint="default" w:ascii="Times New Roman" w:hAnsi="Times New Roman" w:eastAsia="方正小标宋_GBK" w:cs="Times New Roman"/>
          <w:color w:val="auto"/>
          <w:kern w:val="0"/>
          <w:sz w:val="32"/>
          <w:szCs w:val="32"/>
        </w:rPr>
        <w:t>一般公共预算财政拨款“三公”经费支出决算表</w:t>
      </w:r>
    </w:p>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部门： 湖南省农林工业勘察设计研究总院                                                                                         公开07表</w:t>
      </w:r>
    </w:p>
    <w:p>
      <w:pPr>
        <w:widowControl/>
        <w:ind w:right="420"/>
        <w:jc w:val="righ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公务</w:t>
            </w:r>
          </w:p>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公务</w:t>
            </w:r>
          </w:p>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公务用车</w:t>
            </w:r>
            <w:r>
              <w:rPr>
                <w:rFonts w:hint="default" w:ascii="Times New Roman" w:hAnsi="Times New Roman" w:eastAsia="仿宋_GB2312" w:cs="Times New Roman"/>
                <w:color w:val="auto"/>
                <w:kern w:val="0"/>
                <w:szCs w:val="21"/>
              </w:rPr>
              <w:br w:type="textWrapping"/>
            </w:r>
            <w:r>
              <w:rPr>
                <w:rFonts w:hint="default"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公务用车</w:t>
            </w:r>
            <w:r>
              <w:rPr>
                <w:rFonts w:hint="default" w:ascii="Times New Roman" w:hAnsi="Times New Roman" w:eastAsia="仿宋_GB2312" w:cs="Times New Roman"/>
                <w:color w:val="auto"/>
                <w:kern w:val="0"/>
                <w:szCs w:val="21"/>
              </w:rPr>
              <w:br w:type="textWrapping"/>
            </w:r>
            <w:r>
              <w:rPr>
                <w:rFonts w:hint="default"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auto"/>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hint="default"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公务用车</w:t>
            </w:r>
            <w:r>
              <w:rPr>
                <w:rFonts w:hint="default" w:ascii="Times New Roman" w:hAnsi="Times New Roman" w:eastAsia="仿宋_GB2312" w:cs="Times New Roman"/>
                <w:color w:val="auto"/>
                <w:kern w:val="0"/>
                <w:szCs w:val="21"/>
              </w:rPr>
              <w:br w:type="textWrapping"/>
            </w:r>
            <w:r>
              <w:rPr>
                <w:rFonts w:hint="default"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公务用车</w:t>
            </w:r>
            <w:r>
              <w:rPr>
                <w:rFonts w:hint="default" w:ascii="Times New Roman" w:hAnsi="Times New Roman" w:eastAsia="仿宋_GB2312" w:cs="Times New Roman"/>
                <w:color w:val="auto"/>
                <w:kern w:val="0"/>
                <w:szCs w:val="21"/>
              </w:rPr>
              <w:br w:type="textWrapping"/>
            </w:r>
            <w:r>
              <w:rPr>
                <w:rFonts w:hint="default"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5.00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0.00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0.00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5.00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0.80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0.00</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0.00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0.</w:t>
            </w:r>
            <w:r>
              <w:rPr>
                <w:rFonts w:hint="eastAsia" w:ascii="Times New Roman" w:hAnsi="Times New Roman" w:eastAsia="仿宋_GB2312" w:cs="Times New Roman"/>
                <w:color w:val="auto"/>
                <w:kern w:val="0"/>
                <w:szCs w:val="21"/>
                <w:lang w:val="en-US" w:eastAsia="zh-CN"/>
              </w:rPr>
              <w:t>8</w:t>
            </w:r>
            <w:r>
              <w:rPr>
                <w:rFonts w:hint="default" w:ascii="Times New Roman" w:hAnsi="Times New Roman" w:eastAsia="仿宋_GB2312" w:cs="Times New Roman"/>
                <w:color w:val="auto"/>
                <w:kern w:val="0"/>
                <w:szCs w:val="21"/>
              </w:rPr>
              <w:t>0</w:t>
            </w:r>
          </w:p>
        </w:tc>
      </w:tr>
    </w:tbl>
    <w:p>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default" w:ascii="Times New Roman" w:hAnsi="Times New Roman" w:eastAsia="宋体" w:cs="Times New Roman"/>
          <w:color w:val="auto"/>
          <w:kern w:val="0"/>
          <w:sz w:val="24"/>
          <w:szCs w:val="24"/>
        </w:rPr>
        <w:br w:type="page"/>
      </w:r>
    </w:p>
    <w:p>
      <w:pPr>
        <w:widowControl/>
        <w:jc w:val="center"/>
        <w:rPr>
          <w:rFonts w:hint="default" w:ascii="Times New Roman" w:hAnsi="Times New Roman" w:eastAsia="方正小标宋_GBK" w:cs="Times New Roman"/>
          <w:color w:val="auto"/>
          <w:kern w:val="0"/>
          <w:sz w:val="32"/>
          <w:szCs w:val="32"/>
        </w:rPr>
      </w:pPr>
      <w:r>
        <w:rPr>
          <w:rFonts w:hint="default" w:ascii="Times New Roman" w:hAnsi="Times New Roman" w:eastAsia="方正小标宋_GBK" w:cs="Times New Roman"/>
          <w:color w:val="auto"/>
          <w:kern w:val="0"/>
          <w:sz w:val="32"/>
          <w:szCs w:val="32"/>
        </w:rPr>
        <w:t>政府性基金预算财政拨款收入支出决算表</w:t>
      </w:r>
    </w:p>
    <w:p>
      <w:pPr>
        <w:widowControl/>
        <w:wordWrap w:val="0"/>
        <w:ind w:right="42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部门：湖南省农林工业勘察设计研究总院                                                                                 公开08表</w:t>
      </w:r>
    </w:p>
    <w:p>
      <w:pPr>
        <w:widowControl/>
        <w:ind w:right="420"/>
        <w:jc w:val="righ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项    目</w:t>
            </w:r>
          </w:p>
        </w:tc>
        <w:tc>
          <w:tcPr>
            <w:tcW w:w="2000" w:type="dxa"/>
            <w:vMerge w:val="restart"/>
            <w:shd w:val="clear" w:color="auto" w:fill="auto"/>
            <w:vAlign w:val="center"/>
          </w:tcPr>
          <w:p>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年初结转和结余</w:t>
            </w:r>
          </w:p>
        </w:tc>
        <w:tc>
          <w:tcPr>
            <w:tcW w:w="2000" w:type="dxa"/>
            <w:vMerge w:val="restart"/>
            <w:shd w:val="clear" w:color="auto" w:fill="auto"/>
            <w:vAlign w:val="center"/>
          </w:tcPr>
          <w:p>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本年收入</w:t>
            </w:r>
          </w:p>
        </w:tc>
        <w:tc>
          <w:tcPr>
            <w:tcW w:w="6000" w:type="dxa"/>
            <w:gridSpan w:val="3"/>
            <w:shd w:val="clear" w:color="auto" w:fill="auto"/>
            <w:vAlign w:val="center"/>
          </w:tcPr>
          <w:p>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本年支出</w:t>
            </w:r>
          </w:p>
        </w:tc>
        <w:tc>
          <w:tcPr>
            <w:tcW w:w="2000" w:type="dxa"/>
            <w:vMerge w:val="restart"/>
            <w:shd w:val="clear" w:color="auto" w:fill="auto"/>
            <w:vAlign w:val="center"/>
          </w:tcPr>
          <w:p>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功能分类科目编码</w:t>
            </w:r>
          </w:p>
        </w:tc>
        <w:tc>
          <w:tcPr>
            <w:tcW w:w="1320" w:type="dxa"/>
            <w:vMerge w:val="restart"/>
            <w:shd w:val="clear" w:color="auto" w:fill="auto"/>
            <w:vAlign w:val="center"/>
          </w:tcPr>
          <w:p>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科目名称</w:t>
            </w:r>
          </w:p>
        </w:tc>
        <w:tc>
          <w:tcPr>
            <w:tcW w:w="2000" w:type="dxa"/>
            <w:vMerge w:val="continue"/>
            <w:vAlign w:val="center"/>
          </w:tcPr>
          <w:p>
            <w:pPr>
              <w:widowControl/>
              <w:jc w:val="left"/>
              <w:rPr>
                <w:rFonts w:hint="default" w:ascii="Times New Roman" w:hAnsi="Times New Roman" w:eastAsia="仿宋_GB2312" w:cs="Times New Roman"/>
                <w:b/>
                <w:color w:val="auto"/>
                <w:kern w:val="0"/>
                <w:szCs w:val="21"/>
              </w:rPr>
            </w:pPr>
          </w:p>
        </w:tc>
        <w:tc>
          <w:tcPr>
            <w:tcW w:w="2000" w:type="dxa"/>
            <w:vMerge w:val="continue"/>
            <w:vAlign w:val="center"/>
          </w:tcPr>
          <w:p>
            <w:pPr>
              <w:widowControl/>
              <w:jc w:val="left"/>
              <w:rPr>
                <w:rFonts w:hint="default" w:ascii="Times New Roman" w:hAnsi="Times New Roman" w:eastAsia="仿宋_GB2312" w:cs="Times New Roman"/>
                <w:b/>
                <w:color w:val="auto"/>
                <w:kern w:val="0"/>
                <w:szCs w:val="21"/>
              </w:rPr>
            </w:pPr>
          </w:p>
        </w:tc>
        <w:tc>
          <w:tcPr>
            <w:tcW w:w="2000" w:type="dxa"/>
            <w:vMerge w:val="restart"/>
            <w:shd w:val="clear" w:color="auto" w:fill="auto"/>
            <w:vAlign w:val="center"/>
          </w:tcPr>
          <w:p>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小计</w:t>
            </w:r>
          </w:p>
        </w:tc>
        <w:tc>
          <w:tcPr>
            <w:tcW w:w="2000" w:type="dxa"/>
            <w:vMerge w:val="restart"/>
            <w:shd w:val="clear" w:color="auto" w:fill="auto"/>
            <w:vAlign w:val="center"/>
          </w:tcPr>
          <w:p>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 xml:space="preserve">基本支出  </w:t>
            </w:r>
          </w:p>
        </w:tc>
        <w:tc>
          <w:tcPr>
            <w:tcW w:w="2000" w:type="dxa"/>
            <w:vMerge w:val="restart"/>
            <w:shd w:val="clear" w:color="auto" w:fill="auto"/>
            <w:vAlign w:val="center"/>
          </w:tcPr>
          <w:p>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项目支出</w:t>
            </w:r>
          </w:p>
        </w:tc>
        <w:tc>
          <w:tcPr>
            <w:tcW w:w="2000" w:type="dxa"/>
            <w:vMerge w:val="continue"/>
            <w:vAlign w:val="center"/>
          </w:tcPr>
          <w:p>
            <w:pPr>
              <w:widowControl/>
              <w:jc w:val="left"/>
              <w:rPr>
                <w:rFonts w:hint="default" w:ascii="Times New Roman" w:hAnsi="Times New Roman" w:eastAsia="仿宋_GB2312" w:cs="Times New Roman"/>
                <w:b/>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hint="default" w:ascii="Times New Roman" w:hAnsi="Times New Roman" w:eastAsia="仿宋_GB2312" w:cs="Times New Roman"/>
                <w:color w:val="auto"/>
                <w:kern w:val="0"/>
                <w:szCs w:val="21"/>
              </w:rPr>
            </w:pPr>
          </w:p>
        </w:tc>
        <w:tc>
          <w:tcPr>
            <w:tcW w:w="1320" w:type="dxa"/>
            <w:vMerge w:val="continue"/>
            <w:vAlign w:val="center"/>
          </w:tcPr>
          <w:p>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pPr>
              <w:widowControl/>
              <w:jc w:val="left"/>
              <w:rPr>
                <w:rFonts w:hint="default"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hint="default" w:ascii="Times New Roman" w:hAnsi="Times New Roman" w:eastAsia="仿宋_GB2312" w:cs="Times New Roman"/>
                <w:color w:val="auto"/>
                <w:kern w:val="0"/>
                <w:szCs w:val="21"/>
              </w:rPr>
            </w:pPr>
          </w:p>
        </w:tc>
        <w:tc>
          <w:tcPr>
            <w:tcW w:w="1320" w:type="dxa"/>
            <w:vMerge w:val="continue"/>
            <w:vAlign w:val="center"/>
          </w:tcPr>
          <w:p>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pPr>
              <w:widowControl/>
              <w:jc w:val="left"/>
              <w:rPr>
                <w:rFonts w:hint="default"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栏次</w:t>
            </w:r>
          </w:p>
        </w:tc>
        <w:tc>
          <w:tcPr>
            <w:tcW w:w="2000"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w:t>
            </w:r>
          </w:p>
        </w:tc>
        <w:tc>
          <w:tcPr>
            <w:tcW w:w="2000"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w:t>
            </w:r>
          </w:p>
        </w:tc>
        <w:tc>
          <w:tcPr>
            <w:tcW w:w="2000"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w:t>
            </w:r>
          </w:p>
        </w:tc>
        <w:tc>
          <w:tcPr>
            <w:tcW w:w="2000"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w:t>
            </w:r>
          </w:p>
        </w:tc>
        <w:tc>
          <w:tcPr>
            <w:tcW w:w="2000"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w:t>
            </w:r>
          </w:p>
        </w:tc>
        <w:tc>
          <w:tcPr>
            <w:tcW w:w="2000"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合计</w:t>
            </w:r>
          </w:p>
        </w:tc>
        <w:tc>
          <w:tcPr>
            <w:tcW w:w="2000"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bl>
    <w:p>
      <w:pPr>
        <w:widowControl/>
        <w:ind w:firstLine="420" w:firstLineChars="20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注：本表反映部门本年度政府性基金预算财政拨款收入、支出及结转和结余情况</w:t>
      </w:r>
    </w:p>
    <w:p>
      <w:pPr>
        <w:widowControl/>
        <w:ind w:firstLine="420" w:firstLineChars="20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说明：湖南省农林工业勘察设计研究总院没有政府性基金收入，也没有使用政府性基金安排的支出，故本表无数据。</w:t>
      </w:r>
    </w:p>
    <w:tbl>
      <w:tblPr>
        <w:tblStyle w:val="8"/>
        <w:tblW w:w="5000" w:type="pct"/>
        <w:tblInd w:w="0" w:type="dxa"/>
        <w:tblLayout w:type="autofit"/>
        <w:tblCellMar>
          <w:top w:w="0" w:type="dxa"/>
          <w:left w:w="108" w:type="dxa"/>
          <w:bottom w:w="0" w:type="dxa"/>
          <w:right w:w="108" w:type="dxa"/>
        </w:tblCellMar>
      </w:tblPr>
      <w:tblGrid>
        <w:gridCol w:w="1165"/>
        <w:gridCol w:w="615"/>
        <w:gridCol w:w="1199"/>
        <w:gridCol w:w="2339"/>
        <w:gridCol w:w="1346"/>
        <w:gridCol w:w="1458"/>
        <w:gridCol w:w="1421"/>
        <w:gridCol w:w="1852"/>
        <w:gridCol w:w="4219"/>
      </w:tblGrid>
      <w:tr>
        <w:tblPrEx>
          <w:tblCellMar>
            <w:top w:w="0" w:type="dxa"/>
            <w:left w:w="108" w:type="dxa"/>
            <w:bottom w:w="0" w:type="dxa"/>
            <w:right w:w="108" w:type="dxa"/>
          </w:tblCellMar>
        </w:tblPrEx>
        <w:trPr>
          <w:trHeight w:val="720" w:hRule="atLeast"/>
        </w:trPr>
        <w:tc>
          <w:tcPr>
            <w:tcW w:w="5000" w:type="pct"/>
            <w:gridSpan w:val="9"/>
            <w:tcBorders>
              <w:top w:val="nil"/>
              <w:left w:val="nil"/>
              <w:bottom w:val="nil"/>
              <w:right w:val="nil"/>
            </w:tcBorders>
            <w:shd w:val="clear" w:color="000000" w:fill="FFFFFF"/>
            <w:vAlign w:val="center"/>
          </w:tcPr>
          <w:p>
            <w:pPr>
              <w:widowControl/>
              <w:jc w:val="center"/>
              <w:rPr>
                <w:rFonts w:hint="default" w:ascii="Times New Roman" w:hAnsi="Times New Roman" w:eastAsia="黑体" w:cs="Times New Roman"/>
                <w:color w:val="auto"/>
                <w:szCs w:val="21"/>
              </w:rPr>
            </w:pPr>
          </w:p>
          <w:p>
            <w:pPr>
              <w:widowControl/>
              <w:jc w:val="center"/>
              <w:rPr>
                <w:rFonts w:hint="default" w:ascii="Times New Roman" w:hAnsi="Times New Roman" w:eastAsia="黑体" w:cs="Times New Roman"/>
                <w:color w:val="auto"/>
                <w:szCs w:val="21"/>
              </w:rPr>
            </w:pPr>
          </w:p>
          <w:p>
            <w:pPr>
              <w:widowControl/>
              <w:jc w:val="center"/>
              <w:rPr>
                <w:rFonts w:hint="default" w:ascii="Times New Roman" w:hAnsi="Times New Roman" w:eastAsia="黑体" w:cs="Times New Roman"/>
                <w:color w:val="auto"/>
                <w:szCs w:val="21"/>
              </w:rPr>
            </w:pPr>
          </w:p>
          <w:p>
            <w:pPr>
              <w:widowControl/>
              <w:jc w:val="center"/>
              <w:rPr>
                <w:rFonts w:hint="default" w:ascii="Times New Roman" w:hAnsi="Times New Roman" w:eastAsia="黑体" w:cs="Times New Roman"/>
                <w:color w:val="auto"/>
                <w:szCs w:val="21"/>
              </w:rPr>
            </w:pPr>
          </w:p>
          <w:p>
            <w:pPr>
              <w:widowControl/>
              <w:jc w:val="center"/>
              <w:rPr>
                <w:rFonts w:hint="default" w:ascii="Times New Roman" w:hAnsi="Times New Roman" w:eastAsia="黑体" w:cs="Times New Roman"/>
                <w:color w:val="auto"/>
                <w:szCs w:val="21"/>
              </w:rPr>
            </w:pPr>
          </w:p>
          <w:p>
            <w:pPr>
              <w:widowControl/>
              <w:jc w:val="center"/>
              <w:rPr>
                <w:rFonts w:hint="default" w:ascii="Times New Roman" w:hAnsi="Times New Roman" w:eastAsia="黑体" w:cs="Times New Roman"/>
                <w:color w:val="auto"/>
                <w:szCs w:val="21"/>
              </w:rPr>
            </w:pPr>
          </w:p>
          <w:p>
            <w:pPr>
              <w:widowControl/>
              <w:jc w:val="center"/>
              <w:rPr>
                <w:rFonts w:hint="default" w:ascii="Times New Roman" w:hAnsi="Times New Roman" w:eastAsia="黑体" w:cs="Times New Roman"/>
                <w:color w:val="auto"/>
                <w:szCs w:val="21"/>
              </w:rPr>
            </w:pPr>
          </w:p>
          <w:p>
            <w:pPr>
              <w:widowControl/>
              <w:jc w:val="center"/>
              <w:rPr>
                <w:rFonts w:hint="default" w:ascii="Times New Roman" w:hAnsi="Times New Roman" w:eastAsia="黑体" w:cs="Times New Roman"/>
                <w:color w:val="auto"/>
                <w:szCs w:val="21"/>
              </w:rPr>
            </w:pPr>
          </w:p>
          <w:p>
            <w:pPr>
              <w:widowControl/>
              <w:jc w:val="center"/>
              <w:rPr>
                <w:rFonts w:hint="default" w:ascii="Times New Roman" w:hAnsi="Times New Roman" w:eastAsia="黑体" w:cs="Times New Roman"/>
                <w:color w:val="auto"/>
                <w:szCs w:val="21"/>
              </w:rPr>
            </w:pPr>
          </w:p>
          <w:p>
            <w:pPr>
              <w:widowControl/>
              <w:jc w:val="center"/>
              <w:rPr>
                <w:rFonts w:hint="default" w:ascii="Times New Roman" w:hAnsi="Times New Roman" w:eastAsia="黑体" w:cs="Times New Roman"/>
                <w:color w:val="auto"/>
                <w:szCs w:val="21"/>
              </w:rPr>
            </w:pPr>
          </w:p>
          <w:p>
            <w:pPr>
              <w:widowControl/>
              <w:jc w:val="center"/>
              <w:rPr>
                <w:rFonts w:hint="default" w:ascii="Times New Roman" w:hAnsi="Times New Roman" w:eastAsia="黑体" w:cs="Times New Roman"/>
                <w:color w:val="auto"/>
                <w:szCs w:val="21"/>
              </w:rPr>
            </w:pPr>
          </w:p>
          <w:p>
            <w:pPr>
              <w:widowControl/>
              <w:jc w:val="center"/>
              <w:rPr>
                <w:rFonts w:hint="default" w:ascii="Times New Roman" w:hAnsi="Times New Roman" w:eastAsia="黑体" w:cs="Times New Roman"/>
                <w:color w:val="auto"/>
                <w:szCs w:val="21"/>
              </w:rPr>
            </w:pPr>
          </w:p>
          <w:p>
            <w:pPr>
              <w:widowControl/>
              <w:jc w:val="center"/>
              <w:rPr>
                <w:rFonts w:hint="default" w:ascii="Times New Roman" w:hAnsi="Times New Roman" w:eastAsia="黑体" w:cs="Times New Roman"/>
                <w:color w:val="auto"/>
                <w:szCs w:val="21"/>
              </w:rPr>
            </w:pPr>
          </w:p>
          <w:p>
            <w:pPr>
              <w:widowControl/>
              <w:jc w:val="center"/>
              <w:rPr>
                <w:rFonts w:hint="default" w:ascii="Times New Roman" w:hAnsi="Times New Roman" w:eastAsia="黑体" w:cs="Times New Roman"/>
                <w:color w:val="auto"/>
                <w:szCs w:val="21"/>
              </w:rPr>
            </w:pPr>
          </w:p>
          <w:p>
            <w:pPr>
              <w:widowControl/>
              <w:jc w:val="center"/>
              <w:rPr>
                <w:rFonts w:hint="default" w:ascii="Times New Roman" w:hAnsi="Times New Roman" w:eastAsia="黑体" w:cs="Times New Roman"/>
                <w:color w:val="auto"/>
                <w:szCs w:val="21"/>
              </w:rPr>
            </w:pPr>
          </w:p>
          <w:p>
            <w:pPr>
              <w:widowControl/>
              <w:jc w:val="center"/>
              <w:rPr>
                <w:rFonts w:hint="default" w:ascii="Times New Roman" w:hAnsi="Times New Roman" w:eastAsia="华文中宋" w:cs="Times New Roman"/>
                <w:color w:val="auto"/>
                <w:kern w:val="0"/>
                <w:sz w:val="32"/>
                <w:szCs w:val="32"/>
              </w:rPr>
            </w:pPr>
            <w:r>
              <w:rPr>
                <w:rFonts w:hint="default" w:ascii="Times New Roman" w:hAnsi="Times New Roman" w:eastAsia="黑体" w:cs="Times New Roman"/>
                <w:color w:val="auto"/>
                <w:szCs w:val="21"/>
              </w:rPr>
              <w:br w:type="page"/>
            </w:r>
            <w:r>
              <w:rPr>
                <w:rFonts w:hint="default" w:ascii="Times New Roman" w:hAnsi="Times New Roman" w:eastAsia="华文中宋" w:cs="Times New Roman"/>
                <w:color w:val="auto"/>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373" w:type="pct"/>
            <w:tcBorders>
              <w:top w:val="nil"/>
              <w:left w:val="nil"/>
              <w:bottom w:val="nil"/>
              <w:right w:val="nil"/>
            </w:tcBorders>
            <w:shd w:val="clear" w:color="000000" w:fill="FFFFFF"/>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97" w:type="pct"/>
            <w:tcBorders>
              <w:top w:val="nil"/>
              <w:left w:val="nil"/>
              <w:bottom w:val="nil"/>
              <w:right w:val="nil"/>
            </w:tcBorders>
            <w:shd w:val="clear" w:color="000000" w:fill="FFFFFF"/>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132" w:type="pct"/>
            <w:gridSpan w:val="2"/>
            <w:tcBorders>
              <w:top w:val="nil"/>
              <w:left w:val="nil"/>
              <w:bottom w:val="nil"/>
              <w:right w:val="nil"/>
            </w:tcBorders>
            <w:shd w:val="clear" w:color="000000" w:fill="FFFFFF"/>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31" w:type="pct"/>
            <w:tcBorders>
              <w:top w:val="nil"/>
              <w:left w:val="nil"/>
              <w:bottom w:val="nil"/>
              <w:right w:val="nil"/>
            </w:tcBorders>
            <w:shd w:val="clear" w:color="000000" w:fill="FFFFFF"/>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22" w:type="pct"/>
            <w:gridSpan w:val="2"/>
            <w:tcBorders>
              <w:top w:val="nil"/>
              <w:left w:val="nil"/>
              <w:bottom w:val="nil"/>
              <w:right w:val="nil"/>
            </w:tcBorders>
            <w:shd w:val="clear" w:color="000000" w:fill="FFFFFF"/>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942" w:type="pct"/>
            <w:gridSpan w:val="2"/>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公开09表</w:t>
            </w:r>
          </w:p>
        </w:tc>
      </w:tr>
      <w:tr>
        <w:tblPrEx>
          <w:tblCellMar>
            <w:top w:w="0" w:type="dxa"/>
            <w:left w:w="108" w:type="dxa"/>
            <w:bottom w:w="0" w:type="dxa"/>
            <w:right w:w="108" w:type="dxa"/>
          </w:tblCellMar>
        </w:tblPrEx>
        <w:trPr>
          <w:trHeight w:val="285" w:hRule="atLeast"/>
        </w:trPr>
        <w:tc>
          <w:tcPr>
            <w:tcW w:w="1703" w:type="pct"/>
            <w:gridSpan w:val="4"/>
            <w:tcBorders>
              <w:top w:val="nil"/>
              <w:left w:val="nil"/>
              <w:bottom w:val="nil"/>
              <w:right w:val="nil"/>
            </w:tcBorders>
            <w:shd w:val="clear" w:color="000000" w:fill="FFFFFF"/>
            <w:noWrap/>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部门：</w:t>
            </w:r>
            <w:r>
              <w:rPr>
                <w:rFonts w:hint="default" w:ascii="Times New Roman" w:hAnsi="Times New Roman" w:eastAsia="仿宋_GB2312" w:cs="Times New Roman"/>
                <w:color w:val="auto"/>
                <w:kern w:val="0"/>
                <w:szCs w:val="21"/>
              </w:rPr>
              <w:t>湖南省农林工业勘察设计研究总院</w:t>
            </w:r>
          </w:p>
          <w:p>
            <w:pPr>
              <w:widowControl/>
              <w:jc w:val="center"/>
              <w:rPr>
                <w:rFonts w:hint="default" w:ascii="Times New Roman" w:hAnsi="Times New Roman" w:eastAsia="宋体" w:cs="Times New Roman"/>
                <w:color w:val="auto"/>
                <w:kern w:val="0"/>
                <w:sz w:val="20"/>
                <w:szCs w:val="20"/>
              </w:rPr>
            </w:pPr>
          </w:p>
        </w:tc>
        <w:tc>
          <w:tcPr>
            <w:tcW w:w="431" w:type="pct"/>
            <w:tcBorders>
              <w:top w:val="nil"/>
              <w:left w:val="nil"/>
              <w:bottom w:val="single" w:color="auto" w:sz="8" w:space="0"/>
              <w:right w:val="nil"/>
            </w:tcBorders>
            <w:shd w:val="clear" w:color="000000" w:fill="FFFFFF"/>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22" w:type="pct"/>
            <w:gridSpan w:val="2"/>
            <w:tcBorders>
              <w:top w:val="nil"/>
              <w:left w:val="nil"/>
              <w:bottom w:val="single" w:color="auto" w:sz="8" w:space="0"/>
              <w:right w:val="nil"/>
            </w:tcBorders>
            <w:shd w:val="clear" w:color="000000" w:fill="FFFFFF"/>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942" w:type="pct"/>
            <w:gridSpan w:val="2"/>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单位：万元</w:t>
            </w:r>
          </w:p>
        </w:tc>
      </w:tr>
      <w:tr>
        <w:tblPrEx>
          <w:tblCellMar>
            <w:top w:w="0" w:type="dxa"/>
            <w:left w:w="108" w:type="dxa"/>
            <w:bottom w:w="0" w:type="dxa"/>
            <w:right w:w="108" w:type="dxa"/>
          </w:tblCellMar>
        </w:tblPrEx>
        <w:trPr>
          <w:trHeight w:val="402" w:hRule="atLeast"/>
        </w:trPr>
        <w:tc>
          <w:tcPr>
            <w:tcW w:w="1703" w:type="pct"/>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xml:space="preserve">项 </w:t>
            </w:r>
            <w:r>
              <w:rPr>
                <w:rFonts w:hint="default" w:ascii="Times New Roman" w:hAnsi="Times New Roman" w:eastAsia="宋体" w:cs="Times New Roman"/>
                <w:color w:val="auto"/>
                <w:kern w:val="0"/>
                <w:sz w:val="22"/>
              </w:rPr>
              <w:t xml:space="preserve">   </w:t>
            </w:r>
            <w:r>
              <w:rPr>
                <w:rFonts w:hint="default" w:ascii="Times New Roman" w:hAnsi="Times New Roman" w:eastAsia="宋体" w:cs="Times New Roman"/>
                <w:color w:val="auto"/>
                <w:kern w:val="0"/>
                <w:sz w:val="24"/>
                <w:szCs w:val="24"/>
              </w:rPr>
              <w:t>目</w:t>
            </w:r>
          </w:p>
        </w:tc>
        <w:tc>
          <w:tcPr>
            <w:tcW w:w="3296" w:type="pct"/>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本年支出</w:t>
            </w:r>
          </w:p>
        </w:tc>
      </w:tr>
      <w:tr>
        <w:tblPrEx>
          <w:tblCellMar>
            <w:top w:w="0" w:type="dxa"/>
            <w:left w:w="108" w:type="dxa"/>
            <w:bottom w:w="0" w:type="dxa"/>
            <w:right w:w="108" w:type="dxa"/>
          </w:tblCellMar>
        </w:tblPrEx>
        <w:trPr>
          <w:trHeight w:val="402" w:hRule="atLeast"/>
        </w:trPr>
        <w:tc>
          <w:tcPr>
            <w:tcW w:w="954" w:type="pct"/>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功能分类科目编码</w:t>
            </w:r>
          </w:p>
        </w:tc>
        <w:tc>
          <w:tcPr>
            <w:tcW w:w="74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科目名称</w:t>
            </w:r>
          </w:p>
        </w:tc>
        <w:tc>
          <w:tcPr>
            <w:tcW w:w="898" w:type="pct"/>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合计</w:t>
            </w:r>
          </w:p>
        </w:tc>
        <w:tc>
          <w:tcPr>
            <w:tcW w:w="1048" w:type="pct"/>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xml:space="preserve">基本支出  </w:t>
            </w:r>
          </w:p>
        </w:tc>
        <w:tc>
          <w:tcPr>
            <w:tcW w:w="134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项目支出</w:t>
            </w:r>
          </w:p>
        </w:tc>
      </w:tr>
      <w:tr>
        <w:tblPrEx>
          <w:tblCellMar>
            <w:top w:w="0" w:type="dxa"/>
            <w:left w:w="108" w:type="dxa"/>
            <w:bottom w:w="0" w:type="dxa"/>
            <w:right w:w="108" w:type="dxa"/>
          </w:tblCellMar>
        </w:tblPrEx>
        <w:trPr>
          <w:trHeight w:val="402" w:hRule="atLeast"/>
        </w:trPr>
        <w:tc>
          <w:tcPr>
            <w:tcW w:w="954" w:type="pct"/>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kern w:val="0"/>
                <w:sz w:val="24"/>
                <w:szCs w:val="24"/>
              </w:rPr>
            </w:pPr>
          </w:p>
        </w:tc>
        <w:tc>
          <w:tcPr>
            <w:tcW w:w="749"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kern w:val="0"/>
                <w:sz w:val="24"/>
                <w:szCs w:val="24"/>
              </w:rPr>
            </w:pPr>
          </w:p>
        </w:tc>
        <w:tc>
          <w:tcPr>
            <w:tcW w:w="898"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color w:val="auto"/>
                <w:kern w:val="0"/>
                <w:sz w:val="24"/>
                <w:szCs w:val="24"/>
              </w:rPr>
            </w:pPr>
          </w:p>
        </w:tc>
        <w:tc>
          <w:tcPr>
            <w:tcW w:w="1048"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color w:val="auto"/>
                <w:kern w:val="0"/>
                <w:sz w:val="24"/>
                <w:szCs w:val="24"/>
              </w:rPr>
            </w:pPr>
          </w:p>
        </w:tc>
        <w:tc>
          <w:tcPr>
            <w:tcW w:w="1349"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color w:val="auto"/>
                <w:kern w:val="0"/>
                <w:sz w:val="24"/>
                <w:szCs w:val="24"/>
              </w:rPr>
            </w:pPr>
          </w:p>
        </w:tc>
      </w:tr>
      <w:tr>
        <w:tblPrEx>
          <w:tblCellMar>
            <w:top w:w="0" w:type="dxa"/>
            <w:left w:w="108" w:type="dxa"/>
            <w:bottom w:w="0" w:type="dxa"/>
            <w:right w:w="108" w:type="dxa"/>
          </w:tblCellMar>
        </w:tblPrEx>
        <w:trPr>
          <w:trHeight w:val="402" w:hRule="atLeast"/>
        </w:trPr>
        <w:tc>
          <w:tcPr>
            <w:tcW w:w="954" w:type="pct"/>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kern w:val="0"/>
                <w:sz w:val="24"/>
                <w:szCs w:val="24"/>
              </w:rPr>
            </w:pPr>
          </w:p>
        </w:tc>
        <w:tc>
          <w:tcPr>
            <w:tcW w:w="749"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kern w:val="0"/>
                <w:sz w:val="24"/>
                <w:szCs w:val="24"/>
              </w:rPr>
            </w:pPr>
          </w:p>
        </w:tc>
        <w:tc>
          <w:tcPr>
            <w:tcW w:w="898"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color w:val="auto"/>
                <w:kern w:val="0"/>
                <w:sz w:val="24"/>
                <w:szCs w:val="24"/>
              </w:rPr>
            </w:pPr>
          </w:p>
        </w:tc>
        <w:tc>
          <w:tcPr>
            <w:tcW w:w="1048"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color w:val="auto"/>
                <w:kern w:val="0"/>
                <w:sz w:val="24"/>
                <w:szCs w:val="24"/>
              </w:rPr>
            </w:pPr>
          </w:p>
        </w:tc>
        <w:tc>
          <w:tcPr>
            <w:tcW w:w="1349"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color w:val="auto"/>
                <w:kern w:val="0"/>
                <w:sz w:val="24"/>
                <w:szCs w:val="24"/>
              </w:rPr>
            </w:pPr>
          </w:p>
        </w:tc>
      </w:tr>
      <w:tr>
        <w:tblPrEx>
          <w:tblCellMar>
            <w:top w:w="0" w:type="dxa"/>
            <w:left w:w="108" w:type="dxa"/>
            <w:bottom w:w="0" w:type="dxa"/>
            <w:right w:w="108" w:type="dxa"/>
          </w:tblCellMar>
        </w:tblPrEx>
        <w:trPr>
          <w:trHeight w:val="402" w:hRule="atLeast"/>
        </w:trPr>
        <w:tc>
          <w:tcPr>
            <w:tcW w:w="1703" w:type="pct"/>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栏次</w:t>
            </w:r>
          </w:p>
        </w:tc>
        <w:tc>
          <w:tcPr>
            <w:tcW w:w="898" w:type="pct"/>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048" w:type="pct"/>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1349"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tblPrEx>
          <w:tblCellMar>
            <w:top w:w="0" w:type="dxa"/>
            <w:left w:w="108" w:type="dxa"/>
            <w:bottom w:w="0" w:type="dxa"/>
            <w:right w:w="108" w:type="dxa"/>
          </w:tblCellMar>
        </w:tblPrEx>
        <w:trPr>
          <w:trHeight w:val="402" w:hRule="atLeast"/>
        </w:trPr>
        <w:tc>
          <w:tcPr>
            <w:tcW w:w="1703" w:type="pct"/>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合计</w:t>
            </w:r>
          </w:p>
        </w:tc>
        <w:tc>
          <w:tcPr>
            <w:tcW w:w="898" w:type="pct"/>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048" w:type="pct"/>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349"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r>
      <w:tr>
        <w:tblPrEx>
          <w:tblCellMar>
            <w:top w:w="0" w:type="dxa"/>
            <w:left w:w="108" w:type="dxa"/>
            <w:bottom w:w="0" w:type="dxa"/>
            <w:right w:w="108" w:type="dxa"/>
          </w:tblCellMar>
        </w:tblPrEx>
        <w:trPr>
          <w:trHeight w:val="402" w:hRule="atLeast"/>
        </w:trPr>
        <w:tc>
          <w:tcPr>
            <w:tcW w:w="570"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132" w:type="pct"/>
            <w:gridSpan w:val="2"/>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898" w:type="pct"/>
            <w:gridSpan w:val="2"/>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048" w:type="pct"/>
            <w:gridSpan w:val="2"/>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349"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r>
      <w:tr>
        <w:tblPrEx>
          <w:tblCellMar>
            <w:top w:w="0" w:type="dxa"/>
            <w:left w:w="108" w:type="dxa"/>
            <w:bottom w:w="0" w:type="dxa"/>
            <w:right w:w="108" w:type="dxa"/>
          </w:tblCellMar>
        </w:tblPrEx>
        <w:trPr>
          <w:trHeight w:val="720" w:hRule="atLeast"/>
        </w:trPr>
        <w:tc>
          <w:tcPr>
            <w:tcW w:w="5000" w:type="pct"/>
            <w:gridSpan w:val="9"/>
            <w:tcBorders>
              <w:top w:val="single" w:color="auto" w:sz="8" w:space="0"/>
              <w:left w:val="nil"/>
              <w:bottom w:val="nil"/>
              <w:right w:val="nil"/>
            </w:tcBorders>
            <w:shd w:val="clear" w:color="auto" w:fill="auto"/>
            <w:vAlign w:val="center"/>
          </w:tcPr>
          <w:p>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注：本表反映部门本年度国有资本经营预算财政拨款支出情况。</w:t>
            </w:r>
          </w:p>
          <w:p>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说明：湖南省农林工业勘察设计研究总院没有</w:t>
            </w:r>
            <w:r>
              <w:rPr>
                <w:rFonts w:hint="default" w:ascii="Times New Roman" w:hAnsi="Times New Roman" w:eastAsia="宋体" w:cs="Times New Roman"/>
                <w:color w:val="auto"/>
                <w:kern w:val="0"/>
                <w:sz w:val="24"/>
                <w:szCs w:val="24"/>
              </w:rPr>
              <w:br w:type="page"/>
            </w:r>
            <w:r>
              <w:rPr>
                <w:rFonts w:hint="default" w:ascii="Times New Roman" w:hAnsi="Times New Roman" w:eastAsia="宋体" w:cs="Times New Roman"/>
                <w:color w:val="auto"/>
                <w:kern w:val="0"/>
                <w:sz w:val="24"/>
                <w:szCs w:val="24"/>
              </w:rPr>
              <w:t>国有资本经营预算财政拨款收入，也没有使用</w:t>
            </w:r>
            <w:r>
              <w:rPr>
                <w:rFonts w:hint="default" w:ascii="Times New Roman" w:hAnsi="Times New Roman" w:eastAsia="宋体" w:cs="Times New Roman"/>
                <w:color w:val="auto"/>
                <w:kern w:val="0"/>
                <w:sz w:val="24"/>
                <w:szCs w:val="24"/>
              </w:rPr>
              <w:br w:type="page"/>
            </w:r>
            <w:r>
              <w:rPr>
                <w:rFonts w:hint="default" w:ascii="Times New Roman" w:hAnsi="Times New Roman" w:eastAsia="宋体" w:cs="Times New Roman"/>
                <w:color w:val="auto"/>
                <w:kern w:val="0"/>
                <w:sz w:val="24"/>
                <w:szCs w:val="24"/>
              </w:rPr>
              <w:t>国有资本经营预算财政拨款安排的支出，故本表无数据。</w:t>
            </w:r>
          </w:p>
        </w:tc>
      </w:tr>
    </w:tbl>
    <w:p>
      <w:pPr>
        <w:pStyle w:val="13"/>
        <w:rPr>
          <w:rFonts w:hint="default" w:ascii="Times New Roman" w:hAnsi="Times New Roman" w:cs="Times New Roman"/>
          <w:color w:val="auto"/>
          <w:sz w:val="72"/>
          <w:szCs w:val="72"/>
        </w:rPr>
        <w:sectPr>
          <w:pgSz w:w="16838" w:h="11906" w:orient="landscape"/>
          <w:pgMar w:top="720" w:right="720" w:bottom="720" w:left="720" w:header="851" w:footer="992" w:gutter="0"/>
          <w:cols w:space="425" w:num="1"/>
          <w:docGrid w:type="lines" w:linePitch="312" w:charSpace="0"/>
        </w:sectPr>
      </w:pP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52"/>
          <w:szCs w:val="52"/>
        </w:rPr>
      </w:pPr>
      <w:r>
        <w:rPr>
          <w:rFonts w:hint="default" w:ascii="Times New Roman" w:hAnsi="Times New Roman" w:cs="Times New Roman"/>
          <w:color w:val="auto"/>
          <w:sz w:val="52"/>
          <w:szCs w:val="52"/>
        </w:rPr>
        <w:t>第三部分</w:t>
      </w:r>
    </w:p>
    <w:p>
      <w:pPr>
        <w:pStyle w:val="13"/>
        <w:jc w:val="center"/>
        <w:rPr>
          <w:rFonts w:hint="default" w:ascii="Times New Roman" w:hAnsi="Times New Roman" w:cs="Times New Roman"/>
          <w:color w:val="auto"/>
          <w:sz w:val="52"/>
          <w:szCs w:val="52"/>
        </w:rPr>
      </w:pPr>
    </w:p>
    <w:p>
      <w:pPr>
        <w:pStyle w:val="13"/>
        <w:jc w:val="center"/>
        <w:rPr>
          <w:rFonts w:hint="default" w:ascii="Times New Roman" w:hAnsi="Times New Roman" w:cs="Times New Roman"/>
          <w:color w:val="auto"/>
          <w:sz w:val="70"/>
          <w:szCs w:val="70"/>
        </w:rPr>
      </w:pPr>
      <w:r>
        <w:rPr>
          <w:rFonts w:hint="default" w:ascii="Times New Roman" w:hAnsi="Times New Roman" w:cs="Times New Roman"/>
          <w:color w:val="auto"/>
          <w:sz w:val="52"/>
          <w:szCs w:val="52"/>
        </w:rPr>
        <w:t>2021年度单位决算情况说明</w:t>
      </w:r>
    </w:p>
    <w:p>
      <w:pPr>
        <w:widowControl/>
        <w:jc w:val="left"/>
        <w:rPr>
          <w:rFonts w:hint="default" w:ascii="Times New Roman" w:hAnsi="Times New Roman" w:eastAsia="黑体" w:cs="Times New Roman"/>
          <w:color w:val="auto"/>
          <w:kern w:val="0"/>
          <w:sz w:val="70"/>
          <w:szCs w:val="70"/>
        </w:rPr>
      </w:pPr>
      <w:r>
        <w:rPr>
          <w:rFonts w:hint="default" w:ascii="Times New Roman" w:hAnsi="Times New Roman" w:cs="Times New Roman"/>
          <w:color w:val="auto"/>
          <w:sz w:val="70"/>
          <w:szCs w:val="70"/>
        </w:rPr>
        <w:br w:type="page"/>
      </w:r>
    </w:p>
    <w:p>
      <w:pPr>
        <w:pStyle w:val="13"/>
        <w:ind w:firstLine="640" w:firstLineChars="200"/>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一、收入支出决算总体情况说明</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2021年度收、支总计31138.85万元。与上年相比，减少255.49万元，减少0.81%，主要是因为</w:t>
      </w:r>
      <w:r>
        <w:rPr>
          <w:rFonts w:hint="default" w:ascii="Times New Roman" w:hAnsi="Times New Roman" w:eastAsia="方正仿宋_GBK" w:cs="Times New Roman"/>
          <w:color w:val="auto"/>
          <w:sz w:val="32"/>
          <w:szCs w:val="32"/>
          <w:lang w:eastAsia="zh-CN"/>
        </w:rPr>
        <w:t>本年安排的项目支出减少</w:t>
      </w:r>
      <w:r>
        <w:rPr>
          <w:rFonts w:hint="default" w:ascii="Times New Roman" w:hAnsi="Times New Roman" w:eastAsia="方正仿宋_GBK" w:cs="Times New Roman"/>
          <w:color w:val="auto"/>
          <w:sz w:val="32"/>
          <w:szCs w:val="32"/>
        </w:rPr>
        <w:t>。</w:t>
      </w:r>
    </w:p>
    <w:p>
      <w:pPr>
        <w:pStyle w:val="13"/>
        <w:ind w:firstLine="640" w:firstLineChars="200"/>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二、收入决算情况说明</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2021年度收入合计32067.14万元，其中：财政拨款收入6437.26万元，占20.07%；经营收入25629.88万元，占79.93%。</w:t>
      </w:r>
    </w:p>
    <w:p>
      <w:pPr>
        <w:pStyle w:val="13"/>
        <w:ind w:firstLine="640" w:firstLineChars="200"/>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三、支出决算情况说明</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2021年度支出合计31837.37万元，其中：基本支出2734.26万元，占8.59%；项目支出3798.80万元，占11.93%；经营支出25304.31万元，占79.48%。</w:t>
      </w:r>
    </w:p>
    <w:p>
      <w:pPr>
        <w:pStyle w:val="13"/>
        <w:ind w:firstLine="640" w:firstLineChars="200"/>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四、财政拨款收入支出决算总体情况说明</w:t>
      </w:r>
    </w:p>
    <w:p>
      <w:pPr>
        <w:pStyle w:val="13"/>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 xml:space="preserve">    </w:t>
      </w:r>
      <w:r>
        <w:rPr>
          <w:rFonts w:hint="default" w:ascii="Times New Roman" w:hAnsi="Times New Roman" w:eastAsia="方正仿宋_GBK" w:cs="Times New Roman"/>
          <w:color w:val="auto"/>
          <w:sz w:val="32"/>
          <w:szCs w:val="32"/>
        </w:rPr>
        <w:t>2021年度财政拨款收、支总计6437.26万元，与上年相比，减少499.65万元,减少7.20%，主要是因为</w:t>
      </w:r>
      <w:r>
        <w:rPr>
          <w:rFonts w:hint="default" w:ascii="Times New Roman" w:hAnsi="Times New Roman" w:eastAsia="方正仿宋_GBK" w:cs="Times New Roman"/>
          <w:color w:val="auto"/>
          <w:sz w:val="32"/>
          <w:szCs w:val="32"/>
          <w:lang w:eastAsia="zh-CN"/>
        </w:rPr>
        <w:t>本年安排的项目支出减少</w:t>
      </w:r>
      <w:r>
        <w:rPr>
          <w:rFonts w:hint="default" w:ascii="Times New Roman" w:hAnsi="Times New Roman" w:eastAsia="方正仿宋_GBK" w:cs="Times New Roman"/>
          <w:color w:val="auto"/>
          <w:sz w:val="32"/>
          <w:szCs w:val="32"/>
        </w:rPr>
        <w:t>。</w:t>
      </w:r>
    </w:p>
    <w:p>
      <w:pPr>
        <w:pStyle w:val="13"/>
        <w:ind w:firstLine="640" w:firstLineChars="200"/>
        <w:rPr>
          <w:rFonts w:hint="default" w:ascii="Times New Roman" w:hAnsi="Times New Roman" w:cs="Times New Roman"/>
          <w:b/>
          <w:color w:val="auto"/>
          <w:sz w:val="32"/>
          <w:szCs w:val="32"/>
        </w:rPr>
      </w:pPr>
      <w:r>
        <w:rPr>
          <w:rFonts w:hint="default" w:ascii="Times New Roman" w:hAnsi="Times New Roman" w:cs="Times New Roman"/>
          <w:bCs/>
          <w:color w:val="auto"/>
          <w:sz w:val="32"/>
          <w:szCs w:val="32"/>
        </w:rPr>
        <w:t>五、一般公共预算财政拨款支出决算情况说明</w:t>
      </w:r>
    </w:p>
    <w:p>
      <w:pPr>
        <w:pStyle w:val="13"/>
        <w:ind w:firstLine="640" w:firstLineChars="200"/>
        <w:rPr>
          <w:rFonts w:hint="default" w:ascii="Times New Roman" w:hAnsi="Times New Roman" w:eastAsia="方正楷体_GBK" w:cs="Times New Roman"/>
          <w:b/>
          <w:color w:val="auto"/>
          <w:sz w:val="32"/>
          <w:szCs w:val="32"/>
        </w:rPr>
      </w:pPr>
      <w:r>
        <w:rPr>
          <w:rFonts w:hint="default" w:ascii="Times New Roman" w:hAnsi="Times New Roman" w:eastAsia="方正楷体_GBK" w:cs="Times New Roman"/>
          <w:b/>
          <w:color w:val="auto"/>
          <w:sz w:val="32"/>
          <w:szCs w:val="32"/>
        </w:rPr>
        <w:t>（一）财政拨款支出决算总体情况</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2021年度财政拨款支出6533.06万元，占本年支出合计的20.52%，与上年相比，财政拨款支出减少303.85万元，减少4.44%，主要是因为</w:t>
      </w:r>
      <w:r>
        <w:rPr>
          <w:rFonts w:hint="default" w:ascii="Times New Roman" w:hAnsi="Times New Roman" w:eastAsia="方正仿宋_GBK" w:cs="Times New Roman"/>
          <w:color w:val="auto"/>
          <w:sz w:val="32"/>
          <w:szCs w:val="32"/>
          <w:lang w:eastAsia="zh-CN"/>
        </w:rPr>
        <w:t>本年安排的项目支出减少</w:t>
      </w:r>
      <w:r>
        <w:rPr>
          <w:rFonts w:hint="default" w:ascii="Times New Roman" w:hAnsi="Times New Roman" w:eastAsia="方正仿宋_GBK" w:cs="Times New Roman"/>
          <w:color w:val="auto"/>
          <w:sz w:val="32"/>
          <w:szCs w:val="32"/>
        </w:rPr>
        <w:t>。</w:t>
      </w:r>
    </w:p>
    <w:p>
      <w:pPr>
        <w:pStyle w:val="13"/>
        <w:ind w:firstLine="640" w:firstLineChars="200"/>
        <w:rPr>
          <w:rFonts w:hint="default" w:ascii="Times New Roman" w:hAnsi="Times New Roman" w:eastAsia="方正楷体_GBK" w:cs="Times New Roman"/>
          <w:b/>
          <w:color w:val="auto"/>
          <w:sz w:val="32"/>
          <w:szCs w:val="32"/>
        </w:rPr>
      </w:pPr>
      <w:r>
        <w:rPr>
          <w:rFonts w:hint="default" w:ascii="Times New Roman" w:hAnsi="Times New Roman" w:eastAsia="方正楷体_GBK" w:cs="Times New Roman"/>
          <w:b/>
          <w:color w:val="auto"/>
          <w:sz w:val="32"/>
          <w:szCs w:val="32"/>
        </w:rPr>
        <w:t>（二）财政拨款支出决算结构情况</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2021年度财政拨款支出6533.06万元，主要用于以下方面：一般公共服务类支出17.80万元，占0.27%；科学技术支出200万元，占3.06%；社会保障和就业支出232.18万元，占3.55%；农林水支出5823.08万元，占89.14%；商业服务业等支出160万元，占2.45%；自然资源海洋气象等支出100.00万元，占1.53%。</w:t>
      </w:r>
    </w:p>
    <w:p>
      <w:pPr>
        <w:pStyle w:val="13"/>
        <w:ind w:firstLine="800" w:firstLineChars="250"/>
        <w:rPr>
          <w:rFonts w:hint="default" w:ascii="Times New Roman" w:hAnsi="Times New Roman" w:cs="Times New Roman" w:eastAsiaTheme="minorEastAsia"/>
          <w:b/>
          <w:color w:val="auto"/>
          <w:sz w:val="32"/>
          <w:szCs w:val="32"/>
        </w:rPr>
      </w:pPr>
      <w:r>
        <w:rPr>
          <w:rFonts w:hint="default" w:ascii="Times New Roman" w:hAnsi="Times New Roman" w:eastAsia="方正楷体_GBK" w:cs="Times New Roman"/>
          <w:b/>
          <w:color w:val="auto"/>
          <w:sz w:val="32"/>
          <w:szCs w:val="32"/>
        </w:rPr>
        <w:t>（三）财政拨款支出决算具体情况</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2021年度财政拨款支出年初预算数为4555.26万元，支出决算数为6533.06万元，完成年初预算的100%，其中：</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1、一般公共服务支出（类）发展与改革事务（款）其他发展与改革事务支出（项）。</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年初预算为0万元，支出决算为17.80万元，决算数大于年初预算数的主要原因是</w:t>
      </w:r>
      <w:r>
        <w:rPr>
          <w:rFonts w:hint="default" w:ascii="Times New Roman" w:hAnsi="Times New Roman" w:eastAsia="方正仿宋_GBK" w:cs="Times New Roman"/>
          <w:color w:val="auto"/>
          <w:sz w:val="32"/>
          <w:szCs w:val="32"/>
          <w:highlight w:val="none"/>
        </w:rPr>
        <w:t>：年中追加了中央预算内投资前期费用。</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2、科学技术支出（类）应用研究（款）高技术研究（项）。</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年初预算为100万元，支出决算为200万元，完成年初预算的200%，决算数大于年初预算数的主要原因是：使用上年结转资金。</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3、社会保障和就业支出（类）行政事业单位养老支出（款）行政单位离退休（项）。</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年初预算为0万元，支出决算为0.76万元，决算数大于年初预算数的主要原因</w:t>
      </w:r>
      <w:r>
        <w:rPr>
          <w:rFonts w:hint="default" w:ascii="Times New Roman" w:hAnsi="Times New Roman" w:eastAsia="方正仿宋_GBK" w:cs="Times New Roman"/>
          <w:color w:val="auto"/>
          <w:sz w:val="32"/>
          <w:szCs w:val="32"/>
          <w:highlight w:val="none"/>
        </w:rPr>
        <w:t>是：年中追加了建国初期参加革命工作的部分退休干部医疗补贴和生活补贴提标支出。</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4、社会保障和就业支出（类）行政事业单位养老支出（款）事业单位离退休（项）。</w:t>
      </w:r>
    </w:p>
    <w:p>
      <w:pPr>
        <w:pStyle w:val="13"/>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rPr>
        <w:t>年初预算为0万元，支出决算为0.44万元，决算数大于年初预算数的主要原因</w:t>
      </w:r>
      <w:r>
        <w:rPr>
          <w:rFonts w:hint="default" w:ascii="Times New Roman" w:hAnsi="Times New Roman" w:eastAsia="方正仿宋_GBK" w:cs="Times New Roman"/>
          <w:color w:val="auto"/>
          <w:sz w:val="32"/>
          <w:szCs w:val="32"/>
          <w:highlight w:val="none"/>
        </w:rPr>
        <w:t>是：年中追加了建国初期参加革命工作的部分退休干部医疗补贴和生活补贴提标支出。</w:t>
      </w:r>
    </w:p>
    <w:p>
      <w:pPr>
        <w:pStyle w:val="13"/>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5、社会保障和就业支出（类）行政事业单位养老支出（款）机关事业单位基本养老保险缴费支出（项）。</w:t>
      </w:r>
    </w:p>
    <w:p>
      <w:pPr>
        <w:pStyle w:val="13"/>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年初预算为100.98万元，支出决算为100.98万元，完成年初预算的100%。</w:t>
      </w:r>
    </w:p>
    <w:p>
      <w:pPr>
        <w:pStyle w:val="13"/>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6、社会保障和就业支出（类）行政事业单位养老支出（款）机关事业单位职业年金缴费支出（项）。</w:t>
      </w:r>
    </w:p>
    <w:p>
      <w:pPr>
        <w:pStyle w:val="13"/>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年初预算为130万元，支出决算为130万元，完成年初预算的100%。</w:t>
      </w:r>
    </w:p>
    <w:p>
      <w:pPr>
        <w:pStyle w:val="13"/>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7、农林水支出（类）农业农村（款）事业运行（项）。</w:t>
      </w:r>
    </w:p>
    <w:p>
      <w:pPr>
        <w:pStyle w:val="13"/>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年初预算为246万元，支出决算为246万元，完成年初预算的100%。</w:t>
      </w:r>
    </w:p>
    <w:p>
      <w:pPr>
        <w:pStyle w:val="13"/>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8、农林水支出（类）林业和草原（款）事业机构（项）。</w:t>
      </w:r>
    </w:p>
    <w:p>
      <w:pPr>
        <w:pStyle w:val="13"/>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年初预算为2502.08万元，支出决算为2502.08万元，完成年初预算的100%。</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9、农林水支出（类）林业和草原（款）技术推广与转化（项）。</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年初预算为108万元，支出决算为108万元，完成年初预算的100%。 </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10、农林水支出（类）林业和草原（款）森林资源管理（项）。</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年初预算为1188万元，支出决算为1188万元，完成年初预算的100%。</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11、农林水支出（类）林业和草原（款）森林生态效益补偿（项）。</w:t>
      </w:r>
    </w:p>
    <w:p>
      <w:pPr>
        <w:pStyle w:val="13"/>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rPr>
        <w:t>年初预算为0万元，支出决算为709万元，决算数大于年初预算数的主要原因</w:t>
      </w:r>
      <w:r>
        <w:rPr>
          <w:rFonts w:hint="default" w:ascii="Times New Roman" w:hAnsi="Times New Roman" w:eastAsia="方正仿宋_GBK" w:cs="Times New Roman"/>
          <w:color w:val="auto"/>
          <w:sz w:val="32"/>
          <w:szCs w:val="32"/>
          <w:highlight w:val="none"/>
        </w:rPr>
        <w:t>是：年中追加了森林资源管理“一张图”年度更新，公益林数据库和国土三调数据库数据融合支出。</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12、农林水支出（类）林业和草原（款）动植物保护（项）。</w:t>
      </w:r>
    </w:p>
    <w:p>
      <w:pPr>
        <w:pStyle w:val="13"/>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rPr>
        <w:t>年初预算为91.00万元</w:t>
      </w:r>
      <w:r>
        <w:rPr>
          <w:rFonts w:hint="default" w:ascii="Times New Roman" w:hAnsi="Times New Roman" w:eastAsia="方正仿宋_GBK" w:cs="Times New Roman"/>
          <w:color w:val="auto"/>
          <w:sz w:val="32"/>
          <w:szCs w:val="32"/>
          <w:highlight w:val="none"/>
        </w:rPr>
        <w:t>，支出决算为881万元，完成年初预算的</w:t>
      </w:r>
      <w:r>
        <w:rPr>
          <w:rFonts w:hint="default" w:ascii="Times New Roman" w:hAnsi="Times New Roman" w:eastAsia="方正仿宋_GBK" w:cs="Times New Roman"/>
          <w:color w:val="auto"/>
          <w:sz w:val="32"/>
          <w:szCs w:val="32"/>
          <w:highlight w:val="none"/>
          <w:lang w:val="en-US" w:eastAsia="zh-CN"/>
        </w:rPr>
        <w:t>968.13</w:t>
      </w:r>
      <w:r>
        <w:rPr>
          <w:rFonts w:hint="default" w:ascii="Times New Roman" w:hAnsi="Times New Roman" w:eastAsia="方正仿宋_GBK" w:cs="Times New Roman"/>
          <w:color w:val="auto"/>
          <w:sz w:val="32"/>
          <w:szCs w:val="32"/>
          <w:highlight w:val="none"/>
        </w:rPr>
        <w:t>%，决算数大于（小于）年初预算数的主要原因是：年中追加了2021年林业改革发展资金，2021第三批省级林业生态保护修复支出，2021中央财政国家重点野生动植物保护支出。</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13、农林水支出（类）林业和草原（款）湿地保护（项）。</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年初预算为50.00元，支出决算为50.00万元，完成年初预算的100%。</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14、农林水支出（类）林业和草原（款）对外合作与交流（项）。</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年初预算为35.00万元，支出决算为35.00万元，完成年初预算的100%。</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15、农林水支出（类）林业和草原（款）其他林业和草原支出（项）。</w:t>
      </w:r>
    </w:p>
    <w:p>
      <w:pPr>
        <w:pStyle w:val="13"/>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rPr>
        <w:t>年初预算为0万元，支出决算为104万元，决算数大于年初预算数的主要原因</w:t>
      </w:r>
      <w:r>
        <w:rPr>
          <w:rFonts w:hint="default" w:ascii="Times New Roman" w:hAnsi="Times New Roman" w:eastAsia="方正仿宋_GBK" w:cs="Times New Roman"/>
          <w:color w:val="auto"/>
          <w:sz w:val="32"/>
          <w:szCs w:val="32"/>
          <w:highlight w:val="none"/>
        </w:rPr>
        <w:t>是：年中追加了湖南省森林城市评价指标及测评体系修订、指标监测；国土绿化试点示范项目实施方案编制支出。</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16、商业服务业等支出（类）其他商业服务业等支出（款）其他商业服务业等支出（项）。</w:t>
      </w:r>
    </w:p>
    <w:p>
      <w:pPr>
        <w:pStyle w:val="13"/>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rPr>
        <w:t>年初预算为0万元，支出决算为160万元决算数大于年初预算数的主要原因是</w:t>
      </w:r>
      <w:r>
        <w:rPr>
          <w:rFonts w:hint="default" w:ascii="Times New Roman" w:hAnsi="Times New Roman" w:eastAsia="方正仿宋_GBK" w:cs="Times New Roman"/>
          <w:color w:val="auto"/>
          <w:sz w:val="32"/>
          <w:szCs w:val="32"/>
          <w:highlight w:val="none"/>
        </w:rPr>
        <w:t>：年中追加了打造集油茶再流转服务平台、油茶产业大数据平台、油茶产业金融服务平台、油茶产品互联网销售平台四大在内的产业融合服务平台支出。</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17、自然资源海洋气象等支出（类）自然资源事务（款）自然资源调查与确权登记（项）。</w:t>
      </w:r>
    </w:p>
    <w:p>
      <w:pPr>
        <w:pStyle w:val="13"/>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rPr>
        <w:t>年初预算为0万元，支出决算为100万元，决算数大于年初预算数的主要原因是</w:t>
      </w:r>
      <w:r>
        <w:rPr>
          <w:rFonts w:hint="default" w:ascii="Times New Roman" w:hAnsi="Times New Roman" w:eastAsia="方正仿宋_GBK" w:cs="Times New Roman"/>
          <w:color w:val="auto"/>
          <w:sz w:val="32"/>
          <w:szCs w:val="32"/>
          <w:highlight w:val="none"/>
        </w:rPr>
        <w:t>：年中追加了湖南省全民所有自然资源资产清查（第二批）地区试点支出。</w:t>
      </w:r>
    </w:p>
    <w:p>
      <w:pPr>
        <w:pStyle w:val="13"/>
        <w:ind w:firstLine="640" w:firstLineChars="200"/>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六、一般公共预算财政拨款基本支出决算情况说明</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2021年度财政拨款基本支出2734.26万元，其中：人员经费2313.46万元，占基本支出的84.61%,主要包括基本工资、津贴补贴、机关事业单位基本养老保险缴费支出、职业年金缴费、职工基本医疗保险缴费、其他社会保障缴费、离休费、生活补助、医疗费补助；公用经费420.8万元，占基本支出的15.39%，主要包括办公费、印刷费、邮电费、物业管理费、差旅费、维修（护）费、培训费、公务接待费、劳务费、其他商品和服务支出。</w:t>
      </w:r>
    </w:p>
    <w:p>
      <w:pPr>
        <w:pStyle w:val="13"/>
        <w:ind w:firstLine="640" w:firstLineChars="200"/>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七、一般公共预算财政拨款“三公”经费支出决算情况说明</w:t>
      </w:r>
    </w:p>
    <w:p>
      <w:pPr>
        <w:pStyle w:val="13"/>
        <w:ind w:firstLine="640" w:firstLineChars="200"/>
        <w:rPr>
          <w:rFonts w:hint="default" w:ascii="Times New Roman" w:hAnsi="Times New Roman" w:eastAsia="方正楷体_GBK" w:cs="Times New Roman"/>
          <w:b/>
          <w:color w:val="auto"/>
          <w:sz w:val="32"/>
          <w:szCs w:val="32"/>
        </w:rPr>
      </w:pPr>
      <w:r>
        <w:rPr>
          <w:rFonts w:hint="default" w:ascii="Times New Roman" w:hAnsi="Times New Roman" w:eastAsia="方正楷体_GBK" w:cs="Times New Roman"/>
          <w:b/>
          <w:color w:val="auto"/>
          <w:sz w:val="32"/>
          <w:szCs w:val="32"/>
        </w:rPr>
        <w:t>（一）“三公”经费财政拨款支出决算总体情况说明</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2021年度“三公”经费财政拨款支出预算为5万元，支出决算为0.8万元，完成预算的16.06%，其中：</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因公出国（境）费支出预算为0万元，支出决算为0万元，上年也未编制因公出国（境）费预算，未发生支出。</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公务接待费支出预算为5万元，支出决算为0.8万元，完成预算的16.06%，决算数小于预算数的主要原因是厉行节约，公务接待减少，与上年相比减少4.20万元，减少83.94%,减少的主要原因是厉行节约，公务接待减少。</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公务用车购置费支出预算为0万元，支出决算为0万元，上年也未编制公务用车购置费预算，未发生支出。</w:t>
      </w:r>
    </w:p>
    <w:p>
      <w:pPr>
        <w:pStyle w:val="13"/>
        <w:ind w:firstLine="640" w:firstLineChars="200"/>
        <w:rPr>
          <w:rFonts w:hint="default" w:ascii="Times New Roman" w:hAnsi="Times New Roman" w:cs="Times New Roman" w:eastAsiaTheme="minorEastAsia"/>
          <w:b/>
          <w:color w:val="auto"/>
          <w:sz w:val="32"/>
          <w:szCs w:val="32"/>
        </w:rPr>
      </w:pPr>
      <w:r>
        <w:rPr>
          <w:rFonts w:hint="default" w:ascii="Times New Roman" w:hAnsi="Times New Roman" w:eastAsia="方正仿宋_GBK" w:cs="Times New Roman"/>
          <w:color w:val="auto"/>
          <w:sz w:val="32"/>
          <w:szCs w:val="32"/>
        </w:rPr>
        <w:t>公务用车运行维护费支出预算为0万元，支出决算为0万元，上年也未编制公务用车运行维护费预算，未发生支出。</w:t>
      </w:r>
    </w:p>
    <w:p>
      <w:pPr>
        <w:pStyle w:val="13"/>
        <w:ind w:firstLine="640" w:firstLineChars="200"/>
        <w:rPr>
          <w:rFonts w:hint="default" w:ascii="Times New Roman" w:hAnsi="Times New Roman" w:cs="Times New Roman" w:eastAsiaTheme="minorEastAsia"/>
          <w:b/>
          <w:color w:val="auto"/>
          <w:sz w:val="32"/>
          <w:szCs w:val="32"/>
        </w:rPr>
      </w:pPr>
      <w:r>
        <w:rPr>
          <w:rFonts w:hint="default" w:ascii="Times New Roman" w:hAnsi="Times New Roman" w:eastAsia="方正楷体_GBK" w:cs="Times New Roman"/>
          <w:b/>
          <w:color w:val="auto"/>
          <w:sz w:val="32"/>
          <w:szCs w:val="32"/>
        </w:rPr>
        <w:t>（二）“三公”经费财政拨款支出决算具体情况说明</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2021年度“三公”经费财政拨款支出决算中，公务接待费支出决算0.8万元，占100%；因公出国（境）费支出决算0万元，占0%,公务用车购置费及运行维护费支出决算0万元，占0%。其中：</w:t>
      </w:r>
    </w:p>
    <w:p>
      <w:pPr>
        <w:pStyle w:val="13"/>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1、因公出国（境）费支出决算为0万元，全年安排因公出国（境）团组0个，累计0人次</w:t>
      </w:r>
      <w:r>
        <w:rPr>
          <w:rFonts w:hint="default" w:ascii="Times New Roman" w:hAnsi="Times New Roman" w:eastAsia="方正仿宋_GBK" w:cs="Times New Roman"/>
          <w:color w:val="auto"/>
          <w:sz w:val="32"/>
          <w:szCs w:val="32"/>
          <w:lang w:eastAsia="zh-CN"/>
        </w:rPr>
        <w:t>。</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2、公务接待费支出决算为0.8万元，全年共接待来访团组9个、来宾73人次，主要是业务活动发生的接待支出。</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3、公务用车购置费及运行维护费支出决算为0万元，其中：公务用车购置费0万元，更新</w:t>
      </w:r>
      <w:r>
        <w:rPr>
          <w:rFonts w:hint="eastAsia" w:ascii="Times New Roman" w:hAnsi="Times New Roman" w:eastAsia="方正仿宋_GBK" w:cs="Times New Roman"/>
          <w:color w:val="auto"/>
          <w:sz w:val="32"/>
          <w:szCs w:val="32"/>
          <w:lang w:eastAsia="zh-CN"/>
        </w:rPr>
        <w:t>（购置</w:t>
      </w:r>
      <w:bookmarkStart w:id="4" w:name="_GoBack"/>
      <w:bookmarkEnd w:id="4"/>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公务用车0辆。公务用车运行维护费0万元，截止2021年12月31日，我单位开支财政拨款的公务用车保有量为0辆。</w:t>
      </w:r>
    </w:p>
    <w:p>
      <w:pPr>
        <w:pStyle w:val="13"/>
        <w:ind w:firstLine="640" w:firstLineChars="200"/>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八、政府性基金预算收入支出决算情况</w:t>
      </w:r>
    </w:p>
    <w:p>
      <w:pPr>
        <w:pStyle w:val="13"/>
        <w:rPr>
          <w:rFonts w:hint="default" w:ascii="Times New Roman" w:hAnsi="Times New Roman" w:eastAsia="方正仿宋_GBK" w:cs="Times New Roman"/>
          <w:color w:val="auto"/>
          <w:sz w:val="32"/>
          <w:szCs w:val="32"/>
        </w:rPr>
      </w:pPr>
      <w:r>
        <w:rPr>
          <w:rFonts w:hint="default" w:ascii="Times New Roman" w:hAnsi="Times New Roman" w:cs="Times New Roman" w:eastAsiaTheme="minorEastAsia"/>
          <w:color w:val="auto"/>
          <w:sz w:val="32"/>
          <w:szCs w:val="32"/>
        </w:rPr>
        <w:t xml:space="preserve">   </w:t>
      </w:r>
      <w:r>
        <w:rPr>
          <w:rFonts w:hint="default" w:ascii="Times New Roman" w:hAnsi="Times New Roman" w:eastAsia="方正仿宋_GBK" w:cs="Times New Roman"/>
          <w:color w:val="auto"/>
          <w:sz w:val="32"/>
          <w:szCs w:val="32"/>
        </w:rPr>
        <w:t xml:space="preserve"> 本单位无政府性基金收支。</w:t>
      </w:r>
    </w:p>
    <w:p>
      <w:pPr>
        <w:pStyle w:val="13"/>
        <w:ind w:firstLine="640" w:firstLineChars="200"/>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九、机关运行经费支出说明</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本单位2021年度机关运行经费支出0万元，年初也未编制机关运行经费预算。</w:t>
      </w:r>
    </w:p>
    <w:p>
      <w:pPr>
        <w:pStyle w:val="13"/>
        <w:ind w:firstLine="640" w:firstLineChars="200"/>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十、一般性支出情况说明</w:t>
      </w:r>
    </w:p>
    <w:p>
      <w:pPr>
        <w:pStyle w:val="13"/>
        <w:ind w:firstLine="640" w:firstLineChars="200"/>
        <w:rPr>
          <w:rFonts w:hint="default" w:ascii="Times New Roman" w:hAnsi="Times New Roman" w:eastAsia="方正仿宋_GBK" w:cs="Times New Roman"/>
          <w:color w:val="auto"/>
          <w:sz w:val="32"/>
          <w:szCs w:val="32"/>
          <w:highlight w:val="yellow"/>
          <w:lang w:eastAsia="zh-CN"/>
        </w:rPr>
      </w:pPr>
      <w:r>
        <w:rPr>
          <w:rFonts w:hint="default" w:ascii="Times New Roman" w:hAnsi="Times New Roman" w:eastAsia="方正仿宋_GBK" w:cs="Times New Roman"/>
          <w:color w:val="auto"/>
          <w:sz w:val="32"/>
          <w:szCs w:val="32"/>
          <w:highlight w:val="none"/>
        </w:rPr>
        <w:t>2021年本</w:t>
      </w:r>
      <w:r>
        <w:rPr>
          <w:rFonts w:hint="default" w:ascii="Times New Roman" w:hAnsi="Times New Roman" w:eastAsia="方正仿宋_GBK" w:cs="Times New Roman"/>
          <w:color w:val="auto"/>
          <w:sz w:val="32"/>
          <w:szCs w:val="32"/>
          <w:highlight w:val="none"/>
          <w:lang w:eastAsia="zh-CN"/>
        </w:rPr>
        <w:t>单位</w:t>
      </w:r>
      <w:r>
        <w:rPr>
          <w:rFonts w:hint="default" w:ascii="Times New Roman" w:hAnsi="Times New Roman" w:eastAsia="方正仿宋_GBK" w:cs="Times New Roman"/>
          <w:color w:val="auto"/>
          <w:sz w:val="32"/>
          <w:szCs w:val="32"/>
          <w:highlight w:val="none"/>
        </w:rPr>
        <w:t>开支会议费</w:t>
      </w:r>
      <w:r>
        <w:rPr>
          <w:rFonts w:hint="default"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万元，</w:t>
      </w:r>
      <w:r>
        <w:rPr>
          <w:rFonts w:hint="default" w:ascii="Times New Roman" w:hAnsi="Times New Roman" w:eastAsia="方正仿宋_GBK" w:cs="Times New Roman"/>
          <w:color w:val="auto"/>
          <w:sz w:val="32"/>
          <w:szCs w:val="32"/>
          <w:highlight w:val="none"/>
          <w:lang w:eastAsia="zh-CN"/>
        </w:rPr>
        <w:t>未</w:t>
      </w:r>
      <w:r>
        <w:rPr>
          <w:rFonts w:hint="default" w:ascii="Times New Roman" w:hAnsi="Times New Roman" w:eastAsia="方正仿宋_GBK" w:cs="Times New Roman"/>
          <w:color w:val="auto"/>
          <w:sz w:val="32"/>
          <w:szCs w:val="32"/>
          <w:highlight w:val="none"/>
        </w:rPr>
        <w:t>召开会议，人数</w:t>
      </w:r>
      <w:r>
        <w:rPr>
          <w:rFonts w:hint="default"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人；开支培训费122.77万元，用于开展项目培训，专业技术教育，专业人员继续教育培训，专业设备使用操作培训等</w:t>
      </w:r>
      <w:r>
        <w:rPr>
          <w:rFonts w:hint="default" w:ascii="Times New Roman" w:hAnsi="Times New Roman" w:eastAsia="方正仿宋_GBK" w:cs="Times New Roman"/>
          <w:color w:val="auto"/>
          <w:sz w:val="32"/>
          <w:szCs w:val="32"/>
          <w:highlight w:val="none"/>
          <w:lang w:eastAsia="zh-CN"/>
        </w:rPr>
        <w:t>，人数</w:t>
      </w:r>
      <w:r>
        <w:rPr>
          <w:rFonts w:hint="eastAsia" w:ascii="Times New Roman" w:hAnsi="Times New Roman" w:eastAsia="方正仿宋_GBK" w:cs="Times New Roman"/>
          <w:color w:val="auto"/>
          <w:sz w:val="32"/>
          <w:szCs w:val="32"/>
          <w:highlight w:val="none"/>
          <w:lang w:val="en-US" w:eastAsia="zh-CN"/>
        </w:rPr>
        <w:t>232</w:t>
      </w:r>
      <w:r>
        <w:rPr>
          <w:rFonts w:hint="default" w:ascii="Times New Roman" w:hAnsi="Times New Roman" w:eastAsia="方正仿宋_GBK" w:cs="Times New Roman"/>
          <w:color w:val="auto"/>
          <w:sz w:val="32"/>
          <w:szCs w:val="32"/>
          <w:highlight w:val="none"/>
          <w:lang w:eastAsia="zh-CN"/>
        </w:rPr>
        <w:t>人，内容为</w:t>
      </w:r>
      <w:r>
        <w:rPr>
          <w:rFonts w:hint="eastAsia" w:ascii="Times New Roman" w:hAnsi="Times New Roman" w:eastAsia="方正仿宋_GBK" w:cs="Times New Roman"/>
          <w:color w:val="auto"/>
          <w:sz w:val="32"/>
          <w:szCs w:val="32"/>
          <w:highlight w:val="none"/>
          <w:lang w:val="en-US" w:eastAsia="zh-CN"/>
        </w:rPr>
        <w:t>参加</w:t>
      </w:r>
      <w:r>
        <w:rPr>
          <w:rFonts w:hint="default" w:ascii="Times New Roman" w:hAnsi="Times New Roman" w:eastAsia="方正仿宋_GBK" w:cs="Times New Roman"/>
          <w:color w:val="auto"/>
          <w:sz w:val="32"/>
          <w:szCs w:val="32"/>
          <w:highlight w:val="none"/>
          <w:lang w:val="en-US" w:eastAsia="zh-CN"/>
        </w:rPr>
        <w:t>咨询师</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森林康养师</w:t>
      </w:r>
      <w:r>
        <w:rPr>
          <w:rFonts w:hint="eastAsia" w:ascii="Times New Roman" w:hAnsi="Times New Roman" w:eastAsia="方正仿宋_GBK" w:cs="Times New Roman"/>
          <w:color w:val="auto"/>
          <w:sz w:val="32"/>
          <w:szCs w:val="32"/>
          <w:highlight w:val="none"/>
          <w:lang w:val="en-US" w:eastAsia="zh-CN"/>
        </w:rPr>
        <w:t>、各类</w:t>
      </w:r>
      <w:r>
        <w:rPr>
          <w:rFonts w:hint="default" w:ascii="Times New Roman" w:hAnsi="Times New Roman" w:eastAsia="方正仿宋_GBK" w:cs="Times New Roman"/>
          <w:color w:val="auto"/>
          <w:sz w:val="32"/>
          <w:szCs w:val="32"/>
          <w:highlight w:val="none"/>
          <w:lang w:val="en-US" w:eastAsia="zh-CN"/>
        </w:rPr>
        <w:t>工程师</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val="en-US" w:eastAsia="zh-CN"/>
        </w:rPr>
        <w:t>继续教育培训，</w:t>
      </w:r>
      <w:r>
        <w:rPr>
          <w:rFonts w:hint="eastAsia" w:ascii="Times New Roman" w:hAnsi="Times New Roman" w:eastAsia="方正仿宋_GBK" w:cs="Times New Roman"/>
          <w:color w:val="auto"/>
          <w:sz w:val="32"/>
          <w:szCs w:val="32"/>
          <w:highlight w:val="none"/>
          <w:lang w:val="en-US" w:eastAsia="zh-CN"/>
        </w:rPr>
        <w:t>对</w:t>
      </w:r>
      <w:r>
        <w:rPr>
          <w:rFonts w:hint="default" w:ascii="Times New Roman" w:hAnsi="Times New Roman" w:eastAsia="方正仿宋_GBK" w:cs="Times New Roman"/>
          <w:color w:val="auto"/>
          <w:sz w:val="32"/>
          <w:szCs w:val="32"/>
          <w:highlight w:val="none"/>
          <w:lang w:val="en-US" w:eastAsia="zh-CN"/>
        </w:rPr>
        <w:t>无人机</w:t>
      </w:r>
      <w:r>
        <w:rPr>
          <w:rFonts w:hint="eastAsia" w:ascii="Times New Roman" w:hAnsi="Times New Roman" w:eastAsia="方正仿宋_GBK" w:cs="Times New Roman"/>
          <w:color w:val="auto"/>
          <w:sz w:val="32"/>
          <w:szCs w:val="32"/>
          <w:highlight w:val="none"/>
          <w:lang w:val="en-US" w:eastAsia="zh-CN"/>
        </w:rPr>
        <w:t>等进行</w:t>
      </w:r>
      <w:r>
        <w:rPr>
          <w:rFonts w:hint="default" w:ascii="Times New Roman" w:hAnsi="Times New Roman" w:eastAsia="方正仿宋_GBK" w:cs="Times New Roman"/>
          <w:color w:val="auto"/>
          <w:sz w:val="32"/>
          <w:szCs w:val="32"/>
          <w:highlight w:val="none"/>
          <w:lang w:val="en-US" w:eastAsia="zh-CN"/>
        </w:rPr>
        <w:t>操作</w:t>
      </w:r>
      <w:r>
        <w:rPr>
          <w:rFonts w:hint="eastAsia" w:ascii="Times New Roman" w:hAnsi="Times New Roman" w:eastAsia="方正仿宋_GBK" w:cs="Times New Roman"/>
          <w:color w:val="auto"/>
          <w:sz w:val="32"/>
          <w:szCs w:val="32"/>
          <w:highlight w:val="none"/>
          <w:lang w:val="en-US" w:eastAsia="zh-CN"/>
        </w:rPr>
        <w:t>技术</w:t>
      </w:r>
      <w:r>
        <w:rPr>
          <w:rFonts w:hint="default" w:ascii="Times New Roman" w:hAnsi="Times New Roman" w:eastAsia="方正仿宋_GBK" w:cs="Times New Roman"/>
          <w:color w:val="auto"/>
          <w:sz w:val="32"/>
          <w:szCs w:val="32"/>
          <w:highlight w:val="none"/>
          <w:lang w:val="en-US" w:eastAsia="zh-CN"/>
        </w:rPr>
        <w:t>培训</w:t>
      </w:r>
      <w:r>
        <w:rPr>
          <w:rFonts w:hint="eastAsia" w:ascii="Times New Roman" w:hAnsi="Times New Roman" w:eastAsia="方正仿宋_GBK" w:cs="Times New Roman"/>
          <w:color w:val="auto"/>
          <w:sz w:val="32"/>
          <w:szCs w:val="32"/>
          <w:highlight w:val="none"/>
          <w:lang w:val="en-US" w:eastAsia="zh-CN"/>
        </w:rPr>
        <w:t>，参加外部技能培训等</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未举办</w:t>
      </w:r>
      <w:r>
        <w:rPr>
          <w:rFonts w:hint="default" w:ascii="Times New Roman" w:hAnsi="Times New Roman" w:eastAsia="仿宋_GB2312" w:cs="Times New Roman"/>
          <w:color w:val="auto"/>
          <w:kern w:val="0"/>
          <w:sz w:val="32"/>
          <w:szCs w:val="32"/>
          <w:highlight w:val="none"/>
        </w:rPr>
        <w:t>节庆、晚会、论坛、赛事活动，开支</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p>
    <w:p>
      <w:pPr>
        <w:pStyle w:val="13"/>
        <w:ind w:firstLine="640" w:firstLineChars="200"/>
        <w:rPr>
          <w:rFonts w:hint="default" w:ascii="Times New Roman" w:hAnsi="Times New Roman" w:cs="Times New Roman"/>
          <w:b/>
          <w:color w:val="auto"/>
          <w:sz w:val="32"/>
          <w:szCs w:val="32"/>
        </w:rPr>
      </w:pPr>
      <w:r>
        <w:rPr>
          <w:rFonts w:hint="default" w:ascii="Times New Roman" w:hAnsi="Times New Roman" w:cs="Times New Roman"/>
          <w:bCs/>
          <w:color w:val="auto"/>
          <w:sz w:val="32"/>
          <w:szCs w:val="32"/>
        </w:rPr>
        <w:t>十一、政府采购支出说明</w:t>
      </w:r>
    </w:p>
    <w:p>
      <w:pPr>
        <w:pStyle w:val="13"/>
        <w:ind w:firstLine="640" w:firstLineChars="200"/>
        <w:rPr>
          <w:rFonts w:hint="default" w:ascii="Times New Roman" w:hAnsi="Times New Roman" w:eastAsia="方正仿宋_GBK" w:cs="Times New Roman"/>
          <w:color w:val="auto"/>
          <w:sz w:val="32"/>
          <w:szCs w:val="32"/>
          <w:highlight w:val="lightGray"/>
        </w:rPr>
      </w:pPr>
      <w:r>
        <w:rPr>
          <w:rFonts w:hint="default" w:ascii="Times New Roman" w:hAnsi="Times New Roman" w:eastAsia="方正仿宋_GBK" w:cs="Times New Roman"/>
          <w:color w:val="auto"/>
          <w:sz w:val="32"/>
          <w:szCs w:val="32"/>
          <w:highlight w:val="none"/>
        </w:rPr>
        <w:t>本单位2021年度政府采购支出总额60万元，其中：政府采购货物支出60万元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政府采购</w:t>
      </w:r>
      <w:r>
        <w:rPr>
          <w:rFonts w:hint="default" w:ascii="Times New Roman" w:hAnsi="Times New Roman" w:eastAsia="方正仿宋_GBK" w:cs="Times New Roman"/>
          <w:color w:val="auto"/>
          <w:sz w:val="32"/>
          <w:szCs w:val="32"/>
          <w:highlight w:val="none"/>
          <w:lang w:eastAsia="zh-CN"/>
        </w:rPr>
        <w:t>工程</w:t>
      </w:r>
      <w:r>
        <w:rPr>
          <w:rFonts w:hint="default" w:ascii="Times New Roman" w:hAnsi="Times New Roman" w:eastAsia="方正仿宋_GBK" w:cs="Times New Roman"/>
          <w:color w:val="auto"/>
          <w:sz w:val="32"/>
          <w:szCs w:val="32"/>
          <w:highlight w:val="none"/>
        </w:rPr>
        <w:t>支出0万元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政府采购</w:t>
      </w:r>
      <w:r>
        <w:rPr>
          <w:rFonts w:hint="default" w:ascii="Times New Roman" w:hAnsi="Times New Roman" w:eastAsia="方正仿宋_GBK" w:cs="Times New Roman"/>
          <w:color w:val="auto"/>
          <w:sz w:val="32"/>
          <w:szCs w:val="32"/>
          <w:highlight w:val="none"/>
          <w:lang w:eastAsia="zh-CN"/>
        </w:rPr>
        <w:t>服务</w:t>
      </w:r>
      <w:r>
        <w:rPr>
          <w:rFonts w:hint="default" w:ascii="Times New Roman" w:hAnsi="Times New Roman" w:eastAsia="方正仿宋_GBK" w:cs="Times New Roman"/>
          <w:color w:val="auto"/>
          <w:sz w:val="32"/>
          <w:szCs w:val="32"/>
          <w:highlight w:val="none"/>
        </w:rPr>
        <w:t>支出0万元。授予中小企业合同金额60万元，占政府采购支出总额的100%。其中：授予小微企业合同金额</w:t>
      </w:r>
      <w:r>
        <w:rPr>
          <w:rFonts w:hint="default" w:ascii="Times New Roman" w:hAnsi="Times New Roman" w:eastAsia="方正仿宋_GBK" w:cs="Times New Roman"/>
          <w:color w:val="auto"/>
          <w:sz w:val="32"/>
          <w:szCs w:val="32"/>
          <w:highlight w:val="none"/>
          <w:lang w:val="en-US" w:eastAsia="zh-CN"/>
        </w:rPr>
        <w:t>60</w:t>
      </w:r>
      <w:r>
        <w:rPr>
          <w:rFonts w:hint="default" w:ascii="Times New Roman" w:hAnsi="Times New Roman" w:eastAsia="方正仿宋_GBK" w:cs="Times New Roman"/>
          <w:color w:val="auto"/>
          <w:sz w:val="32"/>
          <w:szCs w:val="32"/>
          <w:highlight w:val="none"/>
        </w:rPr>
        <w:t>万元，占授予中小企业合同金额的</w:t>
      </w:r>
      <w:r>
        <w:rPr>
          <w:rFonts w:hint="default" w:ascii="Times New Roman" w:hAnsi="Times New Roman" w:eastAsia="方正仿宋_GBK" w:cs="Times New Roman"/>
          <w:color w:val="auto"/>
          <w:sz w:val="32"/>
          <w:szCs w:val="32"/>
          <w:highlight w:val="none"/>
          <w:lang w:val="en-US" w:eastAsia="zh-CN"/>
        </w:rPr>
        <w:t>100</w:t>
      </w:r>
      <w:r>
        <w:rPr>
          <w:rFonts w:hint="default" w:ascii="Times New Roman" w:hAnsi="Times New Roman" w:eastAsia="方正仿宋_GBK" w:cs="Times New Roman"/>
          <w:color w:val="auto"/>
          <w:sz w:val="32"/>
          <w:szCs w:val="32"/>
          <w:highlight w:val="none"/>
        </w:rPr>
        <w:t>%；货物采购授予中小企业合同金额占货物支出金额的</w:t>
      </w:r>
      <w:r>
        <w:rPr>
          <w:rFonts w:hint="default" w:ascii="Times New Roman" w:hAnsi="Times New Roman" w:eastAsia="方正仿宋_GBK" w:cs="Times New Roman"/>
          <w:color w:val="auto"/>
          <w:sz w:val="32"/>
          <w:szCs w:val="32"/>
          <w:highlight w:val="none"/>
          <w:lang w:val="en-US" w:eastAsia="zh-CN"/>
        </w:rPr>
        <w:t>100</w:t>
      </w:r>
      <w:r>
        <w:rPr>
          <w:rFonts w:hint="default" w:ascii="Times New Roman" w:hAnsi="Times New Roman" w:eastAsia="方正仿宋_GBK" w:cs="Times New Roman"/>
          <w:color w:val="auto"/>
          <w:sz w:val="32"/>
          <w:szCs w:val="32"/>
          <w:highlight w:val="none"/>
        </w:rPr>
        <w:t>%，工程采购授予中小企业合同金额占工程支出金额的0%，服务采购授予中小企业合同金额占服务支出金额的</w:t>
      </w:r>
      <w:r>
        <w:rPr>
          <w:rFonts w:hint="default"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w:t>
      </w:r>
    </w:p>
    <w:p>
      <w:pPr>
        <w:pStyle w:val="13"/>
        <w:ind w:firstLine="640" w:firstLineChars="200"/>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十二、国有资产占用情况说明</w:t>
      </w:r>
    </w:p>
    <w:p>
      <w:pPr>
        <w:pStyle w:val="13"/>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截至2021年12月31日，</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单位共有车辆0辆；单位价值50万元以上通用设备0台（套）；单位价值100万元以上专用设备0台（套）。</w:t>
      </w:r>
    </w:p>
    <w:p>
      <w:pPr>
        <w:pStyle w:val="13"/>
        <w:ind w:firstLine="640" w:firstLineChars="200"/>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十三、2021年度预算绩效情况说明</w:t>
      </w:r>
    </w:p>
    <w:p>
      <w:pPr>
        <w:autoSpaceDE w:val="0"/>
        <w:autoSpaceDN w:val="0"/>
        <w:adjustRightInd w:val="0"/>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见附件。</w:t>
      </w: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p>
    <w:p>
      <w:pPr>
        <w:pStyle w:val="13"/>
        <w:rPr>
          <w:rFonts w:hint="default" w:ascii="Times New Roman" w:hAnsi="Times New Roman" w:cs="Times New Roman"/>
          <w:color w:val="auto"/>
          <w:sz w:val="72"/>
          <w:szCs w:val="72"/>
        </w:rPr>
      </w:pPr>
    </w:p>
    <w:p>
      <w:pPr>
        <w:pStyle w:val="13"/>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r>
        <w:rPr>
          <w:rFonts w:hint="default" w:ascii="Times New Roman" w:hAnsi="Times New Roman" w:cs="Times New Roman"/>
          <w:color w:val="auto"/>
          <w:sz w:val="72"/>
          <w:szCs w:val="72"/>
        </w:rPr>
        <w:t>第四部分</w:t>
      </w:r>
    </w:p>
    <w:p>
      <w:pPr>
        <w:jc w:val="center"/>
        <w:rPr>
          <w:rFonts w:hint="default" w:ascii="Times New Roman" w:hAnsi="Times New Roman" w:eastAsia="黑体" w:cs="Times New Roman"/>
          <w:color w:val="auto"/>
          <w:kern w:val="0"/>
          <w:sz w:val="70"/>
          <w:szCs w:val="70"/>
        </w:rPr>
      </w:pPr>
    </w:p>
    <w:p>
      <w:pPr>
        <w:jc w:val="center"/>
        <w:rPr>
          <w:rFonts w:hint="default" w:ascii="Times New Roman" w:hAnsi="Times New Roman" w:eastAsia="黑体" w:cs="Times New Roman"/>
          <w:color w:val="auto"/>
          <w:kern w:val="0"/>
          <w:sz w:val="70"/>
          <w:szCs w:val="70"/>
        </w:rPr>
      </w:pPr>
      <w:r>
        <w:rPr>
          <w:rFonts w:hint="default" w:ascii="Times New Roman" w:hAnsi="Times New Roman" w:eastAsia="黑体" w:cs="Times New Roman"/>
          <w:color w:val="auto"/>
          <w:kern w:val="0"/>
          <w:sz w:val="70"/>
          <w:szCs w:val="70"/>
        </w:rPr>
        <w:t>名词解释</w:t>
      </w:r>
    </w:p>
    <w:p>
      <w:pPr>
        <w:widowControl/>
        <w:jc w:val="left"/>
        <w:rPr>
          <w:rFonts w:hint="default" w:ascii="Times New Roman" w:hAnsi="Times New Roman" w:eastAsia="黑体" w:cs="Times New Roman"/>
          <w:color w:val="auto"/>
          <w:kern w:val="0"/>
          <w:sz w:val="70"/>
          <w:szCs w:val="70"/>
        </w:rPr>
      </w:pPr>
      <w:r>
        <w:rPr>
          <w:rFonts w:hint="default" w:ascii="Times New Roman" w:hAnsi="Times New Roman" w:eastAsia="黑体" w:cs="Times New Roman"/>
          <w:color w:val="auto"/>
          <w:kern w:val="0"/>
          <w:sz w:val="70"/>
          <w:szCs w:val="70"/>
        </w:rPr>
        <w:br w:type="page"/>
      </w:r>
    </w:p>
    <w:p>
      <w:pPr>
        <w:ind w:firstLine="640" w:firstLineChars="200"/>
        <w:jc w:val="left"/>
        <w:rPr>
          <w:rFonts w:hint="default" w:ascii="Times New Roman" w:hAnsi="Times New Roman" w:cs="Times New Roman"/>
          <w:color w:val="auto"/>
          <w:kern w:val="0"/>
          <w:sz w:val="32"/>
          <w:szCs w:val="32"/>
        </w:rPr>
      </w:pPr>
    </w:p>
    <w:p>
      <w:pPr>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一、财政拨款收入：</w:t>
      </w:r>
      <w:r>
        <w:rPr>
          <w:rFonts w:hint="default" w:ascii="Times New Roman" w:hAnsi="Times New Roman" w:eastAsia="仿宋_GB2312" w:cs="Times New Roman"/>
          <w:color w:val="auto"/>
          <w:kern w:val="0"/>
          <w:sz w:val="32"/>
          <w:szCs w:val="32"/>
        </w:rPr>
        <w:t>指单位从同级财政部门取得的财政预算资金。</w:t>
      </w:r>
    </w:p>
    <w:p>
      <w:pPr>
        <w:spacing w:line="60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eastAsia="zh-CN"/>
        </w:rPr>
        <w:t>二</w:t>
      </w:r>
      <w:r>
        <w:rPr>
          <w:rFonts w:hint="default" w:ascii="Times New Roman" w:hAnsi="Times New Roman" w:eastAsia="仿宋_GB2312" w:cs="Times New Roman"/>
          <w:b/>
          <w:bCs/>
          <w:color w:val="auto"/>
          <w:kern w:val="0"/>
          <w:sz w:val="32"/>
          <w:szCs w:val="32"/>
        </w:rPr>
        <w:t>、经营收入：</w:t>
      </w:r>
      <w:r>
        <w:rPr>
          <w:rFonts w:hint="default" w:ascii="Times New Roman" w:hAnsi="Times New Roman" w:eastAsia="仿宋_GB2312" w:cs="Times New Roman"/>
          <w:color w:val="auto"/>
          <w:kern w:val="0"/>
          <w:sz w:val="32"/>
          <w:szCs w:val="32"/>
        </w:rPr>
        <w:t>指事业单位在专业业务活动及其辅助活动之外开展非独立核算经营活动取得的收入。</w:t>
      </w:r>
    </w:p>
    <w:p>
      <w:pPr>
        <w:widowControl/>
        <w:shd w:val="clear" w:color="auto" w:fill="FFFFFF"/>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eastAsia="zh-CN"/>
        </w:rPr>
        <w:t>三</w:t>
      </w:r>
      <w:r>
        <w:rPr>
          <w:rFonts w:hint="default" w:ascii="Times New Roman" w:hAnsi="Times New Roman" w:eastAsia="仿宋_GB2312" w:cs="Times New Roman"/>
          <w:b/>
          <w:bCs/>
          <w:color w:val="auto"/>
          <w:kern w:val="0"/>
          <w:sz w:val="32"/>
          <w:szCs w:val="32"/>
        </w:rPr>
        <w:t>、基本支出：</w:t>
      </w:r>
      <w:r>
        <w:rPr>
          <w:rFonts w:hint="default" w:ascii="Times New Roman" w:hAnsi="Times New Roman" w:eastAsia="仿宋_GB2312" w:cs="Times New Roman"/>
          <w:color w:val="auto"/>
          <w:sz w:val="32"/>
          <w:szCs w:val="32"/>
        </w:rPr>
        <w:t>指为保障机构正常运转、完成日常工作任务而发生的各项支出，包括人员支出和公用支出。  </w:t>
      </w:r>
    </w:p>
    <w:p>
      <w:pPr>
        <w:widowControl/>
        <w:shd w:val="clear" w:color="auto" w:fill="FFFFFF"/>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eastAsia="zh-CN"/>
        </w:rPr>
        <w:t>四</w:t>
      </w:r>
      <w:r>
        <w:rPr>
          <w:rFonts w:hint="default" w:ascii="Times New Roman" w:hAnsi="Times New Roman" w:eastAsia="仿宋_GB2312" w:cs="Times New Roman"/>
          <w:b/>
          <w:bCs/>
          <w:color w:val="auto"/>
          <w:kern w:val="0"/>
          <w:sz w:val="32"/>
          <w:szCs w:val="32"/>
        </w:rPr>
        <w:t>、项目支出：</w:t>
      </w:r>
      <w:r>
        <w:rPr>
          <w:rFonts w:hint="default" w:ascii="Times New Roman" w:hAnsi="Times New Roman" w:eastAsia="仿宋_GB2312" w:cs="Times New Roman"/>
          <w:color w:val="auto"/>
          <w:sz w:val="32"/>
          <w:szCs w:val="32"/>
        </w:rPr>
        <w:t>指在基本支出以外为完成相关行政任务和事业发展目标所发生的各项支出。  </w:t>
      </w:r>
    </w:p>
    <w:p>
      <w:pPr>
        <w:widowControl/>
        <w:shd w:val="clear" w:color="auto" w:fill="FFFFFF"/>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eastAsia="zh-CN"/>
        </w:rPr>
        <w:t>五</w:t>
      </w:r>
      <w:r>
        <w:rPr>
          <w:rFonts w:hint="default" w:ascii="Times New Roman" w:hAnsi="Times New Roman" w:eastAsia="仿宋_GB2312" w:cs="Times New Roman"/>
          <w:b/>
          <w:bCs/>
          <w:color w:val="auto"/>
          <w:kern w:val="0"/>
          <w:sz w:val="32"/>
          <w:szCs w:val="32"/>
        </w:rPr>
        <w:t>、“三公”经费：</w:t>
      </w:r>
      <w:r>
        <w:rPr>
          <w:rFonts w:hint="default" w:ascii="Times New Roman" w:hAnsi="Times New Roman" w:eastAsia="仿宋_GB2312" w:cs="Times New Roman"/>
          <w:color w:val="auto"/>
          <w:sz w:val="32"/>
          <w:szCs w:val="32"/>
        </w:rPr>
        <w:t>指通过财政拨款资金安排的因公出国（境）费、公务用车购置及运行费和公务接待费支出。  </w:t>
      </w:r>
    </w:p>
    <w:p>
      <w:pPr>
        <w:pStyle w:val="13"/>
        <w:jc w:val="left"/>
        <w:rPr>
          <w:rFonts w:hint="default" w:ascii="Times New Roman" w:hAnsi="Times New Roman" w:cs="Times New Roman"/>
          <w:color w:val="auto"/>
          <w:sz w:val="72"/>
          <w:szCs w:val="72"/>
        </w:rPr>
      </w:pP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lang w:eastAsia="zh-CN"/>
        </w:rPr>
        <w:t>六</w:t>
      </w:r>
      <w:r>
        <w:rPr>
          <w:rFonts w:hint="default" w:ascii="Times New Roman" w:hAnsi="Times New Roman" w:eastAsia="仿宋_GB2312" w:cs="Times New Roman"/>
          <w:b/>
          <w:bCs/>
          <w:color w:val="auto"/>
          <w:kern w:val="0"/>
          <w:sz w:val="32"/>
          <w:szCs w:val="32"/>
        </w:rPr>
        <w:t>、机关运行经费：</w:t>
      </w:r>
      <w:r>
        <w:rPr>
          <w:rFonts w:hint="default" w:ascii="Times New Roman" w:hAnsi="Times New Roman" w:eastAsia="仿宋_GB2312" w:cs="Times New Roman"/>
          <w:color w:val="auto"/>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autoSpaceDE w:val="0"/>
        <w:spacing w:line="360" w:lineRule="auto"/>
        <w:ind w:firstLine="66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lang w:eastAsia="zh-CN"/>
        </w:rPr>
        <w:t>、林业和草原</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用于林业和草原方面的支出。</w:t>
      </w: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p>
    <w:p>
      <w:pPr>
        <w:pStyle w:val="13"/>
        <w:jc w:val="center"/>
        <w:rPr>
          <w:rFonts w:hint="default" w:ascii="Times New Roman" w:hAnsi="Times New Roman" w:cs="Times New Roman"/>
          <w:color w:val="auto"/>
          <w:sz w:val="72"/>
          <w:szCs w:val="72"/>
        </w:rPr>
      </w:pPr>
      <w:r>
        <w:rPr>
          <w:rFonts w:hint="default" w:ascii="Times New Roman" w:hAnsi="Times New Roman" w:cs="Times New Roman"/>
          <w:color w:val="auto"/>
          <w:sz w:val="72"/>
          <w:szCs w:val="72"/>
        </w:rPr>
        <w:t>第五部分</w:t>
      </w:r>
    </w:p>
    <w:p>
      <w:pPr>
        <w:jc w:val="center"/>
        <w:rPr>
          <w:rFonts w:hint="default" w:ascii="Times New Roman" w:hAnsi="Times New Roman" w:eastAsia="黑体" w:cs="Times New Roman"/>
          <w:color w:val="auto"/>
          <w:kern w:val="0"/>
          <w:sz w:val="70"/>
          <w:szCs w:val="70"/>
        </w:rPr>
      </w:pPr>
    </w:p>
    <w:p>
      <w:pPr>
        <w:jc w:val="center"/>
        <w:rPr>
          <w:rFonts w:hint="default" w:ascii="Times New Roman" w:hAnsi="Times New Roman" w:eastAsia="黑体" w:cs="Times New Roman"/>
          <w:color w:val="auto"/>
          <w:kern w:val="0"/>
          <w:sz w:val="70"/>
          <w:szCs w:val="70"/>
        </w:rPr>
      </w:pPr>
      <w:r>
        <w:rPr>
          <w:rFonts w:hint="default" w:ascii="Times New Roman" w:hAnsi="Times New Roman" w:eastAsia="黑体" w:cs="Times New Roman"/>
          <w:color w:val="auto"/>
          <w:kern w:val="0"/>
          <w:sz w:val="70"/>
          <w:szCs w:val="70"/>
        </w:rPr>
        <w:t>附件</w:t>
      </w:r>
    </w:p>
    <w:p>
      <w:pPr>
        <w:widowControl/>
        <w:jc w:val="left"/>
        <w:rPr>
          <w:rFonts w:hint="default" w:ascii="Times New Roman" w:hAnsi="Times New Roman" w:eastAsia="黑体" w:cs="Times New Roman"/>
          <w:color w:val="auto"/>
          <w:kern w:val="0"/>
          <w:sz w:val="70"/>
          <w:szCs w:val="70"/>
        </w:rPr>
      </w:pPr>
      <w:r>
        <w:rPr>
          <w:rFonts w:hint="default" w:ascii="Times New Roman" w:hAnsi="Times New Roman" w:eastAsia="黑体" w:cs="Times New Roman"/>
          <w:color w:val="auto"/>
          <w:kern w:val="0"/>
          <w:sz w:val="70"/>
          <w:szCs w:val="70"/>
        </w:rPr>
        <w:br w:type="page"/>
      </w:r>
    </w:p>
    <w:p>
      <w:pPr>
        <w:jc w:val="center"/>
        <w:rPr>
          <w:rFonts w:hint="default" w:ascii="Times New Roman" w:hAnsi="Times New Roman" w:cs="Times New Roman" w:eastAsiaTheme="majorEastAsia"/>
          <w:b/>
          <w:bCs/>
          <w:color w:val="auto"/>
          <w:sz w:val="44"/>
          <w:szCs w:val="44"/>
          <w:lang w:val="en-US" w:eastAsia="zh-CN"/>
        </w:rPr>
      </w:pPr>
    </w:p>
    <w:p>
      <w:pPr>
        <w:jc w:val="center"/>
        <w:rPr>
          <w:rFonts w:hint="default" w:ascii="Times New Roman" w:hAnsi="Times New Roman" w:cs="Times New Roman" w:eastAsiaTheme="majorEastAsia"/>
          <w:b/>
          <w:bCs/>
          <w:color w:val="auto"/>
          <w:sz w:val="44"/>
          <w:szCs w:val="44"/>
          <w:lang w:val="en-US" w:eastAsia="zh-CN"/>
        </w:rPr>
      </w:pPr>
    </w:p>
    <w:p>
      <w:pPr>
        <w:jc w:val="center"/>
        <w:rPr>
          <w:rFonts w:hint="default" w:ascii="Times New Roman" w:hAnsi="Times New Roman" w:cs="Times New Roman"/>
          <w:color w:val="auto"/>
        </w:rPr>
      </w:pPr>
      <w:r>
        <w:rPr>
          <w:rFonts w:hint="default" w:ascii="Times New Roman" w:hAnsi="Times New Roman" w:cs="Times New Roman" w:eastAsiaTheme="majorEastAsia"/>
          <w:b/>
          <w:bCs/>
          <w:color w:val="auto"/>
          <w:sz w:val="44"/>
          <w:szCs w:val="44"/>
          <w:lang w:val="en-US" w:eastAsia="zh-CN"/>
        </w:rPr>
        <w:t>2021年度</w:t>
      </w:r>
    </w:p>
    <w:p>
      <w:pPr>
        <w:rPr>
          <w:rFonts w:hint="default" w:ascii="Times New Roman" w:hAnsi="Times New Roman" w:cs="Times New Roman"/>
          <w:color w:val="auto"/>
        </w:rPr>
      </w:pPr>
    </w:p>
    <w:p>
      <w:pPr>
        <w:jc w:val="center"/>
        <w:rPr>
          <w:rFonts w:hint="default" w:ascii="Times New Roman" w:hAnsi="Times New Roman" w:cs="Times New Roman" w:eastAsiaTheme="majorEastAsia"/>
          <w:b/>
          <w:bCs/>
          <w:color w:val="auto"/>
          <w:sz w:val="48"/>
          <w:szCs w:val="48"/>
          <w:lang w:val="en-US" w:eastAsia="zh-CN"/>
        </w:rPr>
      </w:pPr>
      <w:r>
        <w:rPr>
          <w:rFonts w:hint="default" w:ascii="Times New Roman" w:hAnsi="Times New Roman" w:cs="Times New Roman" w:eastAsiaTheme="majorEastAsia"/>
          <w:b/>
          <w:bCs/>
          <w:color w:val="auto"/>
          <w:sz w:val="48"/>
          <w:szCs w:val="48"/>
          <w:lang w:val="en-US" w:eastAsia="zh-CN"/>
        </w:rPr>
        <w:t>湖南省农林工业勘察设计研究总院</w:t>
      </w:r>
    </w:p>
    <w:p>
      <w:pPr>
        <w:jc w:val="center"/>
        <w:rPr>
          <w:rFonts w:hint="default" w:ascii="Times New Roman" w:hAnsi="Times New Roman" w:cs="Times New Roman" w:eastAsiaTheme="majorEastAsia"/>
          <w:b/>
          <w:bCs/>
          <w:color w:val="auto"/>
          <w:sz w:val="48"/>
          <w:szCs w:val="48"/>
          <w:lang w:val="en-US" w:eastAsia="zh-CN"/>
        </w:rPr>
      </w:pPr>
      <w:r>
        <w:rPr>
          <w:rFonts w:hint="default" w:ascii="Times New Roman" w:hAnsi="Times New Roman" w:cs="Times New Roman" w:eastAsiaTheme="majorEastAsia"/>
          <w:b/>
          <w:bCs/>
          <w:color w:val="auto"/>
          <w:sz w:val="48"/>
          <w:szCs w:val="48"/>
          <w:lang w:val="en-US" w:eastAsia="zh-CN"/>
        </w:rPr>
        <w:t>整体支出绩效自评报告</w:t>
      </w:r>
    </w:p>
    <w:p>
      <w:pPr>
        <w:ind w:left="0" w:leftChars="0" w:firstLine="960" w:firstLineChars="200"/>
        <w:jc w:val="left"/>
        <w:rPr>
          <w:rFonts w:hint="default" w:ascii="Times New Roman" w:hAnsi="Times New Roman" w:cs="Times New Roman" w:eastAsiaTheme="majorEastAsia"/>
          <w:b/>
          <w:bCs/>
          <w:color w:val="auto"/>
          <w:sz w:val="48"/>
          <w:szCs w:val="48"/>
          <w:lang w:val="en-US" w:eastAsia="zh-CN"/>
        </w:rPr>
      </w:pPr>
    </w:p>
    <w:p>
      <w:pPr>
        <w:ind w:left="0" w:leftChars="0" w:firstLine="960" w:firstLineChars="200"/>
        <w:jc w:val="left"/>
        <w:rPr>
          <w:rFonts w:hint="default" w:ascii="Times New Roman" w:hAnsi="Times New Roman" w:cs="Times New Roman" w:eastAsiaTheme="majorEastAsia"/>
          <w:b/>
          <w:bCs/>
          <w:color w:val="auto"/>
          <w:sz w:val="48"/>
          <w:szCs w:val="48"/>
          <w:lang w:val="en-US" w:eastAsia="zh-CN"/>
        </w:rPr>
      </w:pPr>
    </w:p>
    <w:p>
      <w:pPr>
        <w:ind w:left="0" w:leftChars="0" w:firstLine="960" w:firstLineChars="200"/>
        <w:jc w:val="left"/>
        <w:rPr>
          <w:rFonts w:hint="default" w:ascii="Times New Roman" w:hAnsi="Times New Roman" w:cs="Times New Roman" w:eastAsiaTheme="majorEastAsia"/>
          <w:b/>
          <w:bCs/>
          <w:color w:val="auto"/>
          <w:sz w:val="48"/>
          <w:szCs w:val="48"/>
          <w:lang w:val="en-US" w:eastAsia="zh-CN"/>
        </w:rPr>
      </w:pPr>
    </w:p>
    <w:p>
      <w:pPr>
        <w:ind w:left="0" w:leftChars="0" w:firstLine="960" w:firstLineChars="200"/>
        <w:jc w:val="left"/>
        <w:rPr>
          <w:rFonts w:hint="default" w:ascii="Times New Roman" w:hAnsi="Times New Roman" w:cs="Times New Roman" w:eastAsiaTheme="majorEastAsia"/>
          <w:b/>
          <w:bCs/>
          <w:color w:val="auto"/>
          <w:sz w:val="48"/>
          <w:szCs w:val="48"/>
          <w:lang w:val="en-US" w:eastAsia="zh-CN"/>
        </w:rPr>
      </w:pPr>
    </w:p>
    <w:p>
      <w:pPr>
        <w:ind w:left="0" w:leftChars="0" w:firstLine="960" w:firstLineChars="200"/>
        <w:jc w:val="left"/>
        <w:rPr>
          <w:rFonts w:hint="default" w:ascii="Times New Roman" w:hAnsi="Times New Roman" w:cs="Times New Roman" w:eastAsiaTheme="majorEastAsia"/>
          <w:b/>
          <w:bCs/>
          <w:color w:val="auto"/>
          <w:sz w:val="48"/>
          <w:szCs w:val="48"/>
          <w:lang w:val="en-US" w:eastAsia="zh-CN"/>
        </w:rPr>
      </w:pPr>
    </w:p>
    <w:p>
      <w:pPr>
        <w:ind w:left="0" w:leftChars="0" w:firstLine="960" w:firstLineChars="200"/>
        <w:jc w:val="left"/>
        <w:rPr>
          <w:rFonts w:hint="default" w:ascii="Times New Roman" w:hAnsi="Times New Roman" w:cs="Times New Roman" w:eastAsiaTheme="majorEastAsia"/>
          <w:b/>
          <w:bCs/>
          <w:color w:val="auto"/>
          <w:sz w:val="48"/>
          <w:szCs w:val="48"/>
          <w:lang w:val="en-US" w:eastAsia="zh-CN"/>
        </w:rPr>
      </w:pPr>
    </w:p>
    <w:p>
      <w:pPr>
        <w:ind w:left="0" w:leftChars="0" w:firstLine="960" w:firstLineChars="200"/>
        <w:jc w:val="left"/>
        <w:rPr>
          <w:rFonts w:hint="default" w:ascii="Times New Roman" w:hAnsi="Times New Roman" w:cs="Times New Roman" w:eastAsiaTheme="majorEastAsia"/>
          <w:b/>
          <w:bCs/>
          <w:color w:val="auto"/>
          <w:sz w:val="48"/>
          <w:szCs w:val="48"/>
          <w:lang w:val="en-US" w:eastAsia="zh-CN"/>
        </w:rPr>
      </w:pPr>
    </w:p>
    <w:p>
      <w:pPr>
        <w:ind w:left="0" w:leftChars="0" w:firstLine="960" w:firstLineChars="200"/>
        <w:jc w:val="left"/>
        <w:rPr>
          <w:rFonts w:hint="default" w:ascii="Times New Roman" w:hAnsi="Times New Roman" w:cs="Times New Roman" w:eastAsiaTheme="majorEastAsia"/>
          <w:b/>
          <w:bCs/>
          <w:color w:val="auto"/>
          <w:sz w:val="48"/>
          <w:szCs w:val="48"/>
          <w:lang w:val="en-US" w:eastAsia="zh-CN"/>
        </w:rPr>
      </w:pPr>
    </w:p>
    <w:p>
      <w:pPr>
        <w:ind w:left="0" w:leftChars="0" w:firstLine="960" w:firstLineChars="200"/>
        <w:jc w:val="left"/>
        <w:rPr>
          <w:rFonts w:hint="default" w:ascii="Times New Roman" w:hAnsi="Times New Roman" w:cs="Times New Roman" w:eastAsiaTheme="majorEastAsia"/>
          <w:b/>
          <w:bCs/>
          <w:color w:val="auto"/>
          <w:sz w:val="48"/>
          <w:szCs w:val="48"/>
          <w:lang w:val="en-US" w:eastAsia="zh-CN"/>
        </w:rPr>
      </w:pPr>
    </w:p>
    <w:p>
      <w:pPr>
        <w:ind w:left="0" w:leftChars="0" w:firstLine="1920" w:firstLineChars="600"/>
        <w:jc w:val="left"/>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湖南省农林工业勘察设计研究总院</w:t>
      </w:r>
    </w:p>
    <w:p>
      <w:pPr>
        <w:ind w:firstLine="3200" w:firstLineChars="1000"/>
        <w:jc w:val="left"/>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2022年4月22日</w:t>
      </w:r>
    </w:p>
    <w:p>
      <w:pPr>
        <w:ind w:left="0" w:leftChars="0" w:firstLine="960" w:firstLineChars="200"/>
        <w:jc w:val="left"/>
        <w:rPr>
          <w:rFonts w:hint="default" w:ascii="Times New Roman" w:hAnsi="Times New Roman" w:cs="Times New Roman" w:eastAsiaTheme="majorEastAsia"/>
          <w:b/>
          <w:bCs/>
          <w:color w:val="auto"/>
          <w:sz w:val="48"/>
          <w:szCs w:val="48"/>
          <w:lang w:val="en-US" w:eastAsia="zh-CN"/>
        </w:rPr>
      </w:pPr>
    </w:p>
    <w:p>
      <w:pPr>
        <w:numPr>
          <w:ilvl w:val="0"/>
          <w:numId w:val="1"/>
        </w:numPr>
        <w:jc w:val="left"/>
        <w:rPr>
          <w:rFonts w:hint="default" w:ascii="Times New Roman" w:hAnsi="Times New Roman" w:cs="Times New Roman" w:eastAsiaTheme="majorEastAsia"/>
          <w:b/>
          <w:bCs/>
          <w:color w:val="auto"/>
          <w:sz w:val="30"/>
          <w:szCs w:val="30"/>
          <w:lang w:val="en-US" w:eastAsia="zh-CN"/>
        </w:rPr>
      </w:pPr>
      <w:r>
        <w:rPr>
          <w:rFonts w:hint="default" w:ascii="Times New Roman" w:hAnsi="Times New Roman" w:cs="Times New Roman" w:eastAsiaTheme="majorEastAsia"/>
          <w:b/>
          <w:bCs/>
          <w:color w:val="auto"/>
          <w:sz w:val="30"/>
          <w:szCs w:val="30"/>
          <w:lang w:val="en-US" w:eastAsia="zh-CN"/>
        </w:rPr>
        <w:t>单位基本情况</w:t>
      </w:r>
    </w:p>
    <w:p>
      <w:pPr>
        <w:numPr>
          <w:ilvl w:val="0"/>
          <w:numId w:val="0"/>
        </w:numPr>
        <w:jc w:val="left"/>
        <w:rPr>
          <w:rFonts w:hint="default" w:ascii="Times New Roman" w:hAnsi="Times New Roman" w:eastAsia="仿宋" w:cs="Times New Roman"/>
          <w:b w:val="0"/>
          <w:bCs w:val="0"/>
          <w:color w:val="auto"/>
          <w:sz w:val="30"/>
          <w:szCs w:val="30"/>
          <w:lang w:val="en-US" w:eastAsia="zh-CN"/>
        </w:rPr>
      </w:pPr>
      <w:r>
        <w:rPr>
          <w:rFonts w:hint="default" w:ascii="Times New Roman" w:hAnsi="Times New Roman" w:cs="Times New Roman" w:eastAsiaTheme="majorEastAsia"/>
          <w:b/>
          <w:bCs/>
          <w:color w:val="auto"/>
          <w:sz w:val="30"/>
          <w:szCs w:val="30"/>
          <w:lang w:val="en-US" w:eastAsia="zh-CN"/>
        </w:rPr>
        <w:t xml:space="preserve">    </w:t>
      </w:r>
      <w:r>
        <w:rPr>
          <w:rFonts w:hint="default" w:ascii="Times New Roman" w:hAnsi="Times New Roman" w:eastAsia="仿宋" w:cs="Times New Roman"/>
          <w:b w:val="0"/>
          <w:bCs w:val="0"/>
          <w:color w:val="auto"/>
          <w:sz w:val="30"/>
          <w:szCs w:val="30"/>
          <w:lang w:val="en-US" w:eastAsia="zh-CN"/>
        </w:rPr>
        <w:t xml:space="preserve">我院成立于1956年，系湖南省林业局直属公益二类事业单位。1984 年由全额预算拨款改为差额预算管理单位，1993 年由原湖南省林业厅作为出资人注册成立全民所有制企业，自此以后，一直实行“湖南省林业调查规划设计院”事业法人与“湖南省农林工业勘察设计研究总院”企业法人两块牌子一套人马的事业单位企业化管理体制。2011 年、2012 年分别加挂森林资源与生态环境监测中心、中部林业产权交易服务中心两块牌子，2011 年 9 月开始代管湖南省民用枪支弹药调拨管理中心，2014 年被省编办确定为省林业厅直属公益二类事业单位。近年来，人员经费与单位运行经费主要靠企业单位市场经营创收解决，每年经营收入 2.8 亿元左右、缴税 2500 万元左右。 </w:t>
      </w:r>
    </w:p>
    <w:p>
      <w:pPr>
        <w:numPr>
          <w:ilvl w:val="0"/>
          <w:numId w:val="0"/>
        </w:numPr>
        <w:ind w:firstLine="600" w:firstLineChars="200"/>
        <w:jc w:val="left"/>
        <w:rPr>
          <w:rFonts w:hint="default" w:ascii="Times New Roman" w:hAnsi="Times New Roman" w:eastAsia="仿宋" w:cs="Times New Roman"/>
          <w:color w:val="auto"/>
          <w:kern w:val="0"/>
          <w:sz w:val="30"/>
          <w:szCs w:val="30"/>
          <w:lang w:val="en-US" w:eastAsia="zh-CN"/>
        </w:rPr>
      </w:pPr>
      <w:r>
        <w:rPr>
          <w:rFonts w:hint="default" w:ascii="Times New Roman" w:hAnsi="Times New Roman" w:eastAsia="仿宋" w:cs="Times New Roman"/>
          <w:b w:val="0"/>
          <w:bCs w:val="0"/>
          <w:color w:val="auto"/>
          <w:sz w:val="30"/>
          <w:szCs w:val="30"/>
          <w:lang w:val="en-US" w:eastAsia="zh-CN"/>
        </w:rPr>
        <w:t>我院勘察设计业务范围除林业、农业外，还遍及工业、建筑、交通、市政、园林、景观等多个行业与领域，涉及策划、咨询、规划、勘测、设计、监理、工程总承包等多个业务阶段，拥有甲乙级等各类资质（资信）33 个，其中甲级资质 17 项。截至 2021年 12 月 31 日，共有在职职工 598 人（其中编内人员 327 名，编外院聘人员 213 名，劳务派遣人员 58 名），离退休职工 283 人（其中离休人员 5 人）。 2021 年，省委编委印发《关于省林业局深化事业单位改革试点有关事项的批复》，要求剥离我院公益职能新组建公益一类事业</w:t>
      </w:r>
      <w:r>
        <w:rPr>
          <w:rFonts w:hint="default" w:ascii="Times New Roman" w:hAnsi="Times New Roman" w:eastAsia="仿宋" w:cs="Times New Roman"/>
          <w:color w:val="auto"/>
          <w:kern w:val="0"/>
          <w:sz w:val="30"/>
          <w:szCs w:val="30"/>
          <w:lang w:val="en-US" w:eastAsia="zh-CN"/>
        </w:rPr>
        <w:t>单位属性的湖南省林业资源调查监测评价中心，撤销我院现有事业机构建制，实行整体转企改制。2021 年 11 月 11 日，湖南省林业局行文上报省政府关于审定《湖南省农林工业勘察设计研究总院改革总体方案》的请示；2022 年 3 月 21 日，湖南省林业局行文上报省政府关于提请以省政府办公厅名义征求《湖南省农林工业勘察设计研究总院改革总体方案》意见的请示。改革工作正在全力推进。</w:t>
      </w:r>
    </w:p>
    <w:p>
      <w:pPr>
        <w:numPr>
          <w:ilvl w:val="0"/>
          <w:numId w:val="0"/>
        </w:numPr>
        <w:jc w:val="left"/>
        <w:rPr>
          <w:rFonts w:hint="default" w:ascii="Times New Roman" w:hAnsi="Times New Roman" w:cs="Times New Roman" w:eastAsiaTheme="majorEastAsia"/>
          <w:b/>
          <w:bCs/>
          <w:color w:val="auto"/>
          <w:sz w:val="30"/>
          <w:szCs w:val="30"/>
          <w:lang w:val="en-US" w:eastAsia="zh-CN"/>
        </w:rPr>
      </w:pPr>
      <w:r>
        <w:rPr>
          <w:rFonts w:hint="default" w:ascii="Times New Roman" w:hAnsi="Times New Roman" w:cs="Times New Roman" w:eastAsiaTheme="majorEastAsia"/>
          <w:b/>
          <w:bCs/>
          <w:color w:val="auto"/>
          <w:sz w:val="30"/>
          <w:szCs w:val="30"/>
          <w:lang w:val="en-US" w:eastAsia="zh-CN"/>
        </w:rPr>
        <w:t xml:space="preserve">    </w:t>
      </w:r>
      <w:r>
        <w:rPr>
          <w:rFonts w:hint="default" w:ascii="Times New Roman" w:hAnsi="Times New Roman" w:eastAsia="仿宋" w:cs="Times New Roman"/>
          <w:color w:val="auto"/>
          <w:kern w:val="0"/>
          <w:sz w:val="30"/>
          <w:szCs w:val="30"/>
          <w:lang w:val="en-US" w:eastAsia="zh-CN"/>
        </w:rPr>
        <w:t>我院严格执行《政府会计准则》和《政府会计制度》的规定，各项财务制度完善、人员配备齐全，截至2021年12月31日，院资产总额24814.09万元，负债总额10397.01万元，净资产14417.08万元，全年实现收入32047.95万元，支出31875.62万元。</w:t>
      </w:r>
      <w:r>
        <w:rPr>
          <w:rFonts w:hint="default" w:ascii="Times New Roman" w:hAnsi="Times New Roman" w:cs="Times New Roman" w:eastAsiaTheme="majorEastAsia"/>
          <w:b/>
          <w:bCs/>
          <w:color w:val="auto"/>
          <w:sz w:val="30"/>
          <w:szCs w:val="30"/>
          <w:lang w:val="en-US" w:eastAsia="zh-CN"/>
        </w:rPr>
        <w:t xml:space="preserve"> </w:t>
      </w:r>
    </w:p>
    <w:p>
      <w:pPr>
        <w:numPr>
          <w:ilvl w:val="0"/>
          <w:numId w:val="1"/>
        </w:numPr>
        <w:jc w:val="left"/>
        <w:rPr>
          <w:rFonts w:hint="default" w:ascii="Times New Roman" w:hAnsi="Times New Roman" w:cs="Times New Roman" w:eastAsiaTheme="majorEastAsia"/>
          <w:b/>
          <w:bCs/>
          <w:color w:val="auto"/>
          <w:sz w:val="30"/>
          <w:szCs w:val="30"/>
          <w:lang w:val="en-US" w:eastAsia="zh-CN"/>
        </w:rPr>
      </w:pPr>
      <w:r>
        <w:rPr>
          <w:rFonts w:hint="default" w:ascii="Times New Roman" w:hAnsi="Times New Roman" w:cs="Times New Roman" w:eastAsiaTheme="majorEastAsia"/>
          <w:b/>
          <w:bCs/>
          <w:color w:val="auto"/>
          <w:sz w:val="30"/>
          <w:szCs w:val="30"/>
          <w:lang w:val="en-US" w:eastAsia="zh-CN"/>
        </w:rPr>
        <w:t>一般公共预算支出情况</w:t>
      </w:r>
    </w:p>
    <w:p>
      <w:pPr>
        <w:numPr>
          <w:ilvl w:val="0"/>
          <w:numId w:val="0"/>
        </w:numPr>
        <w:ind w:firstLine="602"/>
        <w:jc w:val="left"/>
        <w:rPr>
          <w:rFonts w:hint="default" w:ascii="Times New Roman" w:hAnsi="Times New Roman" w:eastAsia="仿宋" w:cs="Times New Roman"/>
          <w:color w:val="auto"/>
          <w:kern w:val="0"/>
          <w:sz w:val="30"/>
          <w:szCs w:val="30"/>
          <w:lang w:val="en-US" w:eastAsia="zh-CN"/>
        </w:rPr>
      </w:pPr>
      <w:r>
        <w:rPr>
          <w:rFonts w:hint="default" w:ascii="Times New Roman" w:hAnsi="Times New Roman" w:eastAsia="仿宋" w:cs="Times New Roman"/>
          <w:color w:val="auto"/>
          <w:kern w:val="0"/>
          <w:sz w:val="30"/>
          <w:szCs w:val="30"/>
          <w:lang w:val="en-US" w:eastAsia="zh-CN"/>
        </w:rPr>
        <w:t>2021年省财政厅共下拨财政资金6537.21万元，实际支付6533.06万元，结余4.15万元。其中：基本支出2734.26万元，项目支出3798.80万元（含上年结转100万元，中央财政资金690万元）。</w:t>
      </w:r>
    </w:p>
    <w:p>
      <w:pPr>
        <w:numPr>
          <w:ilvl w:val="0"/>
          <w:numId w:val="0"/>
        </w:numPr>
        <w:ind w:firstLine="602"/>
        <w:jc w:val="left"/>
        <w:rPr>
          <w:rFonts w:hint="default" w:ascii="Times New Roman" w:hAnsi="Times New Roman" w:eastAsia="仿宋" w:cs="Times New Roman"/>
          <w:color w:val="auto"/>
          <w:kern w:val="0"/>
          <w:sz w:val="30"/>
          <w:szCs w:val="30"/>
          <w:lang w:val="en-US" w:eastAsia="zh-CN"/>
        </w:rPr>
      </w:pPr>
      <w:r>
        <w:rPr>
          <w:rFonts w:hint="default" w:ascii="Times New Roman" w:hAnsi="Times New Roman" w:eastAsia="仿宋" w:cs="Times New Roman"/>
          <w:color w:val="auto"/>
          <w:kern w:val="0"/>
          <w:sz w:val="30"/>
          <w:szCs w:val="30"/>
          <w:lang w:val="en-US" w:eastAsia="zh-CN"/>
        </w:rPr>
        <w:t>(一）基本支出情况</w:t>
      </w:r>
    </w:p>
    <w:p>
      <w:pPr>
        <w:numPr>
          <w:ilvl w:val="0"/>
          <w:numId w:val="0"/>
        </w:numPr>
        <w:ind w:firstLine="602"/>
        <w:jc w:val="left"/>
        <w:rPr>
          <w:rFonts w:hint="default" w:ascii="Times New Roman" w:hAnsi="Times New Roman" w:eastAsia="仿宋" w:cs="Times New Roman"/>
          <w:color w:val="auto"/>
          <w:kern w:val="0"/>
          <w:sz w:val="30"/>
          <w:szCs w:val="30"/>
          <w:lang w:val="en-US" w:eastAsia="zh-CN"/>
        </w:rPr>
      </w:pPr>
      <w:r>
        <w:rPr>
          <w:rFonts w:hint="default" w:ascii="Times New Roman" w:hAnsi="Times New Roman" w:eastAsia="仿宋" w:cs="Times New Roman"/>
          <w:color w:val="auto"/>
          <w:kern w:val="0"/>
          <w:sz w:val="30"/>
          <w:szCs w:val="30"/>
          <w:lang w:val="en-US" w:eastAsia="zh-CN"/>
        </w:rPr>
        <w:t>基本支出2734.26万元，主要用于支付离休人员工资和医疗费、缴纳职工的部分社会保险及公用经费的开支。其中用于人员经费的开支为2353.46万元，公用经费开支为380.85万元，结余4.15万元。</w:t>
      </w:r>
    </w:p>
    <w:p>
      <w:pPr>
        <w:numPr>
          <w:ilvl w:val="0"/>
          <w:numId w:val="0"/>
        </w:numPr>
        <w:jc w:val="left"/>
        <w:rPr>
          <w:rFonts w:hint="default" w:ascii="Times New Roman" w:hAnsi="Times New Roman" w:eastAsia="仿宋" w:cs="Times New Roman"/>
          <w:color w:val="auto"/>
          <w:kern w:val="0"/>
          <w:sz w:val="30"/>
          <w:szCs w:val="30"/>
          <w:lang w:val="en-US" w:eastAsia="zh-CN"/>
        </w:rPr>
      </w:pPr>
      <w:r>
        <w:rPr>
          <w:rFonts w:hint="default" w:ascii="Times New Roman" w:hAnsi="Times New Roman" w:eastAsia="仿宋" w:cs="Times New Roman"/>
          <w:color w:val="auto"/>
          <w:kern w:val="0"/>
          <w:sz w:val="30"/>
          <w:szCs w:val="30"/>
          <w:lang w:val="en-US" w:eastAsia="zh-CN"/>
        </w:rPr>
        <w:t xml:space="preserve">   （二）项目支出情况</w:t>
      </w:r>
    </w:p>
    <w:p>
      <w:pPr>
        <w:numPr>
          <w:ilvl w:val="0"/>
          <w:numId w:val="0"/>
        </w:numPr>
        <w:ind w:firstLine="602"/>
        <w:jc w:val="left"/>
        <w:rPr>
          <w:rFonts w:hint="default" w:ascii="Times New Roman" w:hAnsi="Times New Roman" w:eastAsia="仿宋" w:cs="Times New Roman"/>
          <w:color w:val="auto"/>
          <w:kern w:val="0"/>
          <w:sz w:val="30"/>
          <w:szCs w:val="30"/>
          <w:lang w:val="en-US" w:eastAsia="zh-CN"/>
        </w:rPr>
      </w:pPr>
      <w:r>
        <w:rPr>
          <w:rFonts w:hint="default" w:ascii="Times New Roman" w:hAnsi="Times New Roman" w:eastAsia="仿宋" w:cs="Times New Roman"/>
          <w:color w:val="auto"/>
          <w:kern w:val="0"/>
          <w:sz w:val="30"/>
          <w:szCs w:val="30"/>
          <w:lang w:val="en-US" w:eastAsia="zh-CN"/>
        </w:rPr>
        <w:t>项目支出3798.80万元，其中省级财政资金3108.80万元，主要用于事业运行、森林生态效益补偿、林业生态保护修复及发展、</w:t>
      </w:r>
      <w:r>
        <w:rPr>
          <w:rFonts w:hint="default" w:ascii="Times New Roman" w:hAnsi="Times New Roman" w:eastAsia="仿宋" w:cs="Times New Roman"/>
          <w:b w:val="0"/>
          <w:bCs w:val="0"/>
          <w:color w:val="auto"/>
          <w:sz w:val="30"/>
          <w:szCs w:val="30"/>
          <w:lang w:val="en-US" w:eastAsia="zh-CN"/>
        </w:rPr>
        <w:t>森林城市建设资金专项、</w:t>
      </w:r>
      <w:r>
        <w:rPr>
          <w:rFonts w:hint="default" w:ascii="Times New Roman" w:hAnsi="Times New Roman" w:eastAsia="仿宋" w:cs="Times New Roman"/>
          <w:color w:val="auto"/>
          <w:kern w:val="0"/>
          <w:sz w:val="30"/>
          <w:szCs w:val="30"/>
          <w:lang w:val="en-US" w:eastAsia="zh-CN"/>
        </w:rPr>
        <w:t>技术推广与转化、对外合作与交流、自然资源调查与确权登记、高技术研究、其他林业和草原支出、其他发展与改革事务支出及其他商业服务业等专项的支出。</w:t>
      </w:r>
    </w:p>
    <w:p>
      <w:pPr>
        <w:numPr>
          <w:ilvl w:val="0"/>
          <w:numId w:val="0"/>
        </w:numPr>
        <w:ind w:firstLine="2952" w:firstLineChars="984"/>
        <w:jc w:val="left"/>
        <w:rPr>
          <w:rFonts w:hint="default" w:ascii="Times New Roman" w:hAnsi="Times New Roman" w:eastAsia="仿宋" w:cs="Times New Roman"/>
          <w:color w:val="auto"/>
          <w:kern w:val="0"/>
          <w:sz w:val="30"/>
          <w:szCs w:val="30"/>
          <w:lang w:val="en-US" w:eastAsia="zh-CN"/>
        </w:rPr>
      </w:pPr>
      <w:r>
        <w:rPr>
          <w:rFonts w:hint="default" w:ascii="Times New Roman" w:hAnsi="Times New Roman" w:eastAsia="仿宋" w:cs="Times New Roman"/>
          <w:color w:val="auto"/>
          <w:kern w:val="0"/>
          <w:sz w:val="30"/>
          <w:szCs w:val="30"/>
          <w:lang w:val="en-US" w:eastAsia="zh-CN"/>
        </w:rPr>
        <w:t>项目资金明细表</w:t>
      </w:r>
    </w:p>
    <w:p>
      <w:pPr>
        <w:numPr>
          <w:ilvl w:val="0"/>
          <w:numId w:val="0"/>
        </w:numPr>
        <w:ind w:firstLine="2952" w:firstLineChars="984"/>
        <w:jc w:val="left"/>
        <w:rPr>
          <w:rFonts w:hint="default" w:ascii="Times New Roman" w:hAnsi="Times New Roman" w:eastAsia="仿宋" w:cs="Times New Roman"/>
          <w:color w:val="auto"/>
          <w:kern w:val="0"/>
          <w:sz w:val="30"/>
          <w:szCs w:val="30"/>
          <w:lang w:val="en-US" w:eastAsia="zh-CN"/>
        </w:rPr>
      </w:pPr>
      <w:r>
        <w:rPr>
          <w:rFonts w:hint="default" w:ascii="Times New Roman" w:hAnsi="Times New Roman" w:eastAsia="仿宋" w:cs="Times New Roman"/>
          <w:color w:val="auto"/>
          <w:kern w:val="0"/>
          <w:sz w:val="30"/>
          <w:szCs w:val="30"/>
          <w:lang w:val="en-US" w:eastAsia="zh-CN"/>
        </w:rPr>
        <w:t xml:space="preserve">                    单位：万元</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4880"/>
        <w:gridCol w:w="2156"/>
        <w:gridCol w:w="1549"/>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18" w:type="pct"/>
          </w:tcPr>
          <w:p>
            <w:pPr>
              <w:numPr>
                <w:ilvl w:val="0"/>
                <w:numId w:val="0"/>
              </w:numPr>
              <w:jc w:val="left"/>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序号</w:t>
            </w:r>
          </w:p>
        </w:tc>
        <w:tc>
          <w:tcPr>
            <w:tcW w:w="2284" w:type="pct"/>
            <w:vAlign w:val="center"/>
          </w:tcPr>
          <w:p>
            <w:pPr>
              <w:numPr>
                <w:ilvl w:val="0"/>
                <w:numId w:val="0"/>
              </w:numPr>
              <w:ind w:firstLine="800" w:firstLineChars="400"/>
              <w:jc w:val="both"/>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项    目</w:t>
            </w:r>
          </w:p>
        </w:tc>
        <w:tc>
          <w:tcPr>
            <w:tcW w:w="1009" w:type="pct"/>
          </w:tcPr>
          <w:p>
            <w:pPr>
              <w:numPr>
                <w:ilvl w:val="0"/>
                <w:numId w:val="0"/>
              </w:numPr>
              <w:ind w:firstLine="200" w:firstLineChars="100"/>
              <w:jc w:val="left"/>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资金下</w:t>
            </w:r>
          </w:p>
          <w:p>
            <w:pPr>
              <w:numPr>
                <w:ilvl w:val="0"/>
                <w:numId w:val="0"/>
              </w:numPr>
              <w:ind w:firstLine="200" w:firstLineChars="100"/>
              <w:jc w:val="left"/>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达文件</w:t>
            </w:r>
          </w:p>
        </w:tc>
        <w:tc>
          <w:tcPr>
            <w:tcW w:w="725" w:type="pct"/>
            <w:vAlign w:val="center"/>
          </w:tcPr>
          <w:p>
            <w:pPr>
              <w:numPr>
                <w:ilvl w:val="0"/>
                <w:numId w:val="0"/>
              </w:numPr>
              <w:ind w:firstLine="200" w:firstLineChars="100"/>
              <w:jc w:val="both"/>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预算</w:t>
            </w:r>
          </w:p>
          <w:p>
            <w:pPr>
              <w:numPr>
                <w:ilvl w:val="0"/>
                <w:numId w:val="0"/>
              </w:numPr>
              <w:ind w:firstLine="200" w:firstLineChars="100"/>
              <w:jc w:val="both"/>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金额</w:t>
            </w:r>
          </w:p>
        </w:tc>
        <w:tc>
          <w:tcPr>
            <w:tcW w:w="661"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实际</w:t>
            </w:r>
          </w:p>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w:t>
            </w:r>
          </w:p>
        </w:tc>
        <w:tc>
          <w:tcPr>
            <w:tcW w:w="2284" w:type="pct"/>
            <w:vAlign w:val="center"/>
          </w:tcPr>
          <w:p>
            <w:pPr>
              <w:numPr>
                <w:ilvl w:val="0"/>
                <w:numId w:val="0"/>
              </w:numPr>
              <w:jc w:val="left"/>
              <w:rPr>
                <w:rFonts w:hint="default" w:ascii="Times New Roman" w:hAnsi="Times New Roman" w:eastAsia="仿宋" w:cs="Times New Roman"/>
                <w:b w:val="0"/>
                <w:bCs w:val="0"/>
                <w:color w:val="auto"/>
                <w:sz w:val="20"/>
                <w:szCs w:val="20"/>
                <w:lang w:val="en-US" w:eastAsia="zh-CN"/>
              </w:rPr>
            </w:pPr>
            <w:r>
              <w:rPr>
                <w:rFonts w:hint="default" w:ascii="Times New Roman" w:hAnsi="Times New Roman" w:eastAsia="仿宋" w:cs="Times New Roman"/>
                <w:b w:val="0"/>
                <w:bCs w:val="0"/>
                <w:color w:val="auto"/>
                <w:sz w:val="20"/>
                <w:szCs w:val="20"/>
                <w:lang w:val="en-US" w:eastAsia="zh-CN"/>
              </w:rPr>
              <w:t>森林生态效益补偿专项</w:t>
            </w:r>
          </w:p>
        </w:tc>
        <w:tc>
          <w:tcPr>
            <w:tcW w:w="1009"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湘财资环指〔2021〕9号</w:t>
            </w:r>
          </w:p>
        </w:tc>
        <w:tc>
          <w:tcPr>
            <w:tcW w:w="725" w:type="pct"/>
          </w:tcPr>
          <w:p>
            <w:pPr>
              <w:numPr>
                <w:ilvl w:val="0"/>
                <w:numId w:val="0"/>
              </w:numPr>
              <w:ind w:firstLine="200" w:firstLineChars="100"/>
              <w:jc w:val="left"/>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709</w:t>
            </w:r>
          </w:p>
        </w:tc>
        <w:tc>
          <w:tcPr>
            <w:tcW w:w="661" w:type="pct"/>
          </w:tcPr>
          <w:p>
            <w:pPr>
              <w:numPr>
                <w:ilvl w:val="0"/>
                <w:numId w:val="0"/>
              </w:numPr>
              <w:ind w:firstLine="200" w:firstLineChars="100"/>
              <w:jc w:val="left"/>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2</w:t>
            </w:r>
          </w:p>
        </w:tc>
        <w:tc>
          <w:tcPr>
            <w:tcW w:w="2284" w:type="pct"/>
            <w:vAlign w:val="top"/>
          </w:tcPr>
          <w:p>
            <w:pPr>
              <w:numPr>
                <w:ilvl w:val="0"/>
                <w:numId w:val="0"/>
              </w:numPr>
              <w:jc w:val="both"/>
              <w:rPr>
                <w:rFonts w:hint="default" w:ascii="Times New Roman" w:hAnsi="Times New Roman" w:eastAsia="仿宋" w:cs="Times New Roman"/>
                <w:b w:val="0"/>
                <w:bCs w:val="0"/>
                <w:color w:val="auto"/>
                <w:sz w:val="20"/>
                <w:szCs w:val="20"/>
                <w:lang w:val="en-US" w:eastAsia="zh-CN"/>
              </w:rPr>
            </w:pPr>
            <w:r>
              <w:rPr>
                <w:rFonts w:hint="default" w:ascii="Times New Roman" w:hAnsi="Times New Roman" w:eastAsia="仿宋" w:cs="Times New Roman"/>
                <w:b w:val="0"/>
                <w:bCs w:val="0"/>
                <w:color w:val="auto"/>
                <w:sz w:val="20"/>
                <w:szCs w:val="20"/>
                <w:lang w:val="en-US" w:eastAsia="zh-CN"/>
              </w:rPr>
              <w:t>森林城市建设资金专项</w:t>
            </w:r>
          </w:p>
        </w:tc>
        <w:tc>
          <w:tcPr>
            <w:tcW w:w="1009"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湘财资环指〔2021〕9号</w:t>
            </w:r>
          </w:p>
        </w:tc>
        <w:tc>
          <w:tcPr>
            <w:tcW w:w="725" w:type="pct"/>
            <w:vAlign w:val="center"/>
          </w:tcPr>
          <w:p>
            <w:pPr>
              <w:numPr>
                <w:ilvl w:val="0"/>
                <w:numId w:val="0"/>
              </w:numPr>
              <w:ind w:firstLine="200" w:firstLineChars="100"/>
              <w:jc w:val="both"/>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54</w:t>
            </w:r>
          </w:p>
        </w:tc>
        <w:tc>
          <w:tcPr>
            <w:tcW w:w="661"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54.26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318"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3</w:t>
            </w:r>
          </w:p>
        </w:tc>
        <w:tc>
          <w:tcPr>
            <w:tcW w:w="2284" w:type="pct"/>
            <w:vAlign w:val="top"/>
          </w:tcPr>
          <w:p>
            <w:pPr>
              <w:numPr>
                <w:ilvl w:val="0"/>
                <w:numId w:val="0"/>
              </w:numPr>
              <w:jc w:val="both"/>
              <w:rPr>
                <w:rFonts w:hint="default" w:ascii="Times New Roman" w:hAnsi="Times New Roman" w:eastAsia="仿宋" w:cs="Times New Roman"/>
                <w:b w:val="0"/>
                <w:bCs w:val="0"/>
                <w:color w:val="auto"/>
                <w:sz w:val="20"/>
                <w:szCs w:val="20"/>
                <w:lang w:val="en-US" w:eastAsia="zh-CN"/>
              </w:rPr>
            </w:pPr>
            <w:r>
              <w:rPr>
                <w:rFonts w:hint="default" w:ascii="Times New Roman" w:hAnsi="Times New Roman" w:eastAsia="仿宋" w:cs="Times New Roman"/>
                <w:b w:val="0"/>
                <w:bCs w:val="0"/>
                <w:color w:val="auto"/>
                <w:sz w:val="20"/>
                <w:szCs w:val="20"/>
                <w:lang w:val="en-US" w:eastAsia="zh-CN"/>
              </w:rPr>
              <w:t>征占林地异地植被恢复、森林管护及重点工作专项</w:t>
            </w:r>
          </w:p>
        </w:tc>
        <w:tc>
          <w:tcPr>
            <w:tcW w:w="1009"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湘财资环指〔2021〕9号</w:t>
            </w:r>
          </w:p>
        </w:tc>
        <w:tc>
          <w:tcPr>
            <w:tcW w:w="725" w:type="pct"/>
            <w:vAlign w:val="center"/>
          </w:tcPr>
          <w:p>
            <w:pPr>
              <w:numPr>
                <w:ilvl w:val="0"/>
                <w:numId w:val="0"/>
              </w:numPr>
              <w:ind w:firstLine="200" w:firstLineChars="100"/>
              <w:jc w:val="both"/>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50</w:t>
            </w:r>
          </w:p>
        </w:tc>
        <w:tc>
          <w:tcPr>
            <w:tcW w:w="661" w:type="pct"/>
            <w:vAlign w:val="center"/>
          </w:tcPr>
          <w:p>
            <w:pPr>
              <w:numPr>
                <w:ilvl w:val="0"/>
                <w:numId w:val="0"/>
              </w:numPr>
              <w:ind w:firstLine="200" w:firstLineChars="100"/>
              <w:jc w:val="both"/>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4</w:t>
            </w:r>
          </w:p>
        </w:tc>
        <w:tc>
          <w:tcPr>
            <w:tcW w:w="2284" w:type="pct"/>
            <w:vAlign w:val="top"/>
          </w:tcPr>
          <w:p>
            <w:pPr>
              <w:numPr>
                <w:ilvl w:val="0"/>
                <w:numId w:val="0"/>
              </w:numPr>
              <w:jc w:val="both"/>
              <w:rPr>
                <w:rFonts w:hint="default" w:ascii="Times New Roman" w:hAnsi="Times New Roman" w:eastAsia="仿宋" w:cs="Times New Roman"/>
                <w:b w:val="0"/>
                <w:bCs w:val="0"/>
                <w:color w:val="auto"/>
                <w:sz w:val="20"/>
                <w:szCs w:val="20"/>
                <w:lang w:val="en-US" w:eastAsia="zh-CN"/>
              </w:rPr>
            </w:pPr>
            <w:r>
              <w:rPr>
                <w:rFonts w:hint="default" w:ascii="Times New Roman" w:hAnsi="Times New Roman" w:eastAsia="仿宋" w:cs="Times New Roman"/>
                <w:b w:val="0"/>
                <w:bCs w:val="0"/>
                <w:color w:val="auto"/>
                <w:sz w:val="20"/>
                <w:szCs w:val="20"/>
                <w:lang w:val="en-US" w:eastAsia="zh-CN"/>
              </w:rPr>
              <w:t>林业生态保护修复及发展资金</w:t>
            </w:r>
          </w:p>
        </w:tc>
        <w:tc>
          <w:tcPr>
            <w:tcW w:w="1009"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湘财资环指〔2021〕35号</w:t>
            </w:r>
          </w:p>
        </w:tc>
        <w:tc>
          <w:tcPr>
            <w:tcW w:w="725" w:type="pct"/>
            <w:vAlign w:val="center"/>
          </w:tcPr>
          <w:p>
            <w:pPr>
              <w:numPr>
                <w:ilvl w:val="0"/>
                <w:numId w:val="0"/>
              </w:numPr>
              <w:ind w:firstLine="200" w:firstLineChars="100"/>
              <w:jc w:val="both"/>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100</w:t>
            </w:r>
          </w:p>
        </w:tc>
        <w:tc>
          <w:tcPr>
            <w:tcW w:w="661"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102.76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5</w:t>
            </w:r>
          </w:p>
        </w:tc>
        <w:tc>
          <w:tcPr>
            <w:tcW w:w="2284" w:type="pct"/>
            <w:vMerge w:val="restart"/>
            <w:vAlign w:val="center"/>
          </w:tcPr>
          <w:p>
            <w:pPr>
              <w:numPr>
                <w:ilvl w:val="0"/>
                <w:numId w:val="0"/>
              </w:numPr>
              <w:jc w:val="left"/>
              <w:rPr>
                <w:rFonts w:hint="default" w:ascii="Times New Roman" w:hAnsi="Times New Roman" w:eastAsia="仿宋" w:cs="Times New Roman"/>
                <w:b w:val="0"/>
                <w:bCs w:val="0"/>
                <w:color w:val="auto"/>
                <w:sz w:val="20"/>
                <w:szCs w:val="20"/>
                <w:lang w:val="en-US" w:eastAsia="zh-CN"/>
              </w:rPr>
            </w:pPr>
            <w:r>
              <w:rPr>
                <w:rFonts w:hint="default" w:ascii="Times New Roman" w:hAnsi="Times New Roman" w:eastAsia="仿宋" w:cs="Times New Roman"/>
                <w:b w:val="0"/>
                <w:bCs w:val="0"/>
                <w:color w:val="auto"/>
                <w:sz w:val="20"/>
                <w:szCs w:val="20"/>
                <w:lang w:val="en-US" w:eastAsia="zh-CN"/>
              </w:rPr>
              <w:t>森林资源管理专项</w:t>
            </w:r>
          </w:p>
        </w:tc>
        <w:tc>
          <w:tcPr>
            <w:tcW w:w="1009" w:type="pct"/>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2021预-专-0001</w:t>
            </w:r>
          </w:p>
        </w:tc>
        <w:tc>
          <w:tcPr>
            <w:tcW w:w="725"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972.08</w:t>
            </w:r>
          </w:p>
        </w:tc>
        <w:tc>
          <w:tcPr>
            <w:tcW w:w="661"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972.08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vMerge w:val="continue"/>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p>
        </w:tc>
        <w:tc>
          <w:tcPr>
            <w:tcW w:w="2284" w:type="pct"/>
            <w:vMerge w:val="continue"/>
            <w:vAlign w:val="top"/>
          </w:tcPr>
          <w:p>
            <w:pPr>
              <w:numPr>
                <w:ilvl w:val="0"/>
                <w:numId w:val="0"/>
              </w:numPr>
              <w:jc w:val="both"/>
              <w:rPr>
                <w:rFonts w:hint="default" w:ascii="Times New Roman" w:hAnsi="Times New Roman" w:eastAsia="仿宋" w:cs="Times New Roman"/>
                <w:b w:val="0"/>
                <w:bCs w:val="0"/>
                <w:color w:val="auto"/>
                <w:sz w:val="20"/>
                <w:szCs w:val="20"/>
                <w:lang w:val="en-US" w:eastAsia="zh-CN"/>
              </w:rPr>
            </w:pPr>
          </w:p>
        </w:tc>
        <w:tc>
          <w:tcPr>
            <w:tcW w:w="1009"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2021〔湘财预〕0001号</w:t>
            </w:r>
          </w:p>
        </w:tc>
        <w:tc>
          <w:tcPr>
            <w:tcW w:w="725"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215.92</w:t>
            </w:r>
          </w:p>
        </w:tc>
        <w:tc>
          <w:tcPr>
            <w:tcW w:w="661"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215.92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18"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6</w:t>
            </w:r>
          </w:p>
        </w:tc>
        <w:tc>
          <w:tcPr>
            <w:tcW w:w="2284" w:type="pct"/>
            <w:vAlign w:val="center"/>
          </w:tcPr>
          <w:p>
            <w:pPr>
              <w:numPr>
                <w:ilvl w:val="0"/>
                <w:numId w:val="0"/>
              </w:numPr>
              <w:jc w:val="left"/>
              <w:rPr>
                <w:rFonts w:hint="default" w:ascii="Times New Roman" w:hAnsi="Times New Roman" w:eastAsia="仿宋" w:cs="Times New Roman"/>
                <w:b w:val="0"/>
                <w:bCs w:val="0"/>
                <w:color w:val="auto"/>
                <w:sz w:val="20"/>
                <w:szCs w:val="20"/>
                <w:lang w:val="en-US" w:eastAsia="zh-CN"/>
              </w:rPr>
            </w:pPr>
            <w:r>
              <w:rPr>
                <w:rFonts w:hint="default" w:ascii="Times New Roman" w:hAnsi="Times New Roman" w:eastAsia="仿宋" w:cs="Times New Roman"/>
                <w:b w:val="0"/>
                <w:bCs w:val="0"/>
                <w:color w:val="auto"/>
                <w:sz w:val="20"/>
                <w:szCs w:val="20"/>
                <w:lang w:val="en-US" w:eastAsia="zh-CN"/>
              </w:rPr>
              <w:t>城乡建设用地增减挂钩监测监管</w:t>
            </w:r>
          </w:p>
        </w:tc>
        <w:tc>
          <w:tcPr>
            <w:tcW w:w="1009"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处室代编预算－资环处0001号</w:t>
            </w:r>
          </w:p>
        </w:tc>
        <w:tc>
          <w:tcPr>
            <w:tcW w:w="725"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100</w:t>
            </w:r>
          </w:p>
        </w:tc>
        <w:tc>
          <w:tcPr>
            <w:tcW w:w="661"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7</w:t>
            </w:r>
          </w:p>
        </w:tc>
        <w:tc>
          <w:tcPr>
            <w:tcW w:w="2284" w:type="pct"/>
            <w:vAlign w:val="center"/>
          </w:tcPr>
          <w:p>
            <w:pPr>
              <w:numPr>
                <w:ilvl w:val="0"/>
                <w:numId w:val="0"/>
              </w:numPr>
              <w:jc w:val="left"/>
              <w:rPr>
                <w:rFonts w:hint="default" w:ascii="Times New Roman" w:hAnsi="Times New Roman" w:eastAsia="仿宋" w:cs="Times New Roman"/>
                <w:b w:val="0"/>
                <w:bCs w:val="0"/>
                <w:color w:val="auto"/>
                <w:sz w:val="20"/>
                <w:szCs w:val="20"/>
                <w:lang w:val="en-US" w:eastAsia="zh-CN"/>
              </w:rPr>
            </w:pPr>
            <w:r>
              <w:rPr>
                <w:rFonts w:hint="default" w:ascii="Times New Roman" w:hAnsi="Times New Roman" w:eastAsia="仿宋" w:cs="Times New Roman"/>
                <w:b w:val="0"/>
                <w:bCs w:val="0"/>
                <w:color w:val="auto"/>
                <w:sz w:val="20"/>
                <w:szCs w:val="20"/>
                <w:lang w:val="en-US" w:eastAsia="zh-CN"/>
              </w:rPr>
              <w:t>预算内基本建设（市县）专项</w:t>
            </w:r>
          </w:p>
        </w:tc>
        <w:tc>
          <w:tcPr>
            <w:tcW w:w="1009" w:type="pct"/>
          </w:tcPr>
          <w:p>
            <w:pPr>
              <w:numPr>
                <w:ilvl w:val="0"/>
                <w:numId w:val="0"/>
              </w:numPr>
              <w:jc w:val="left"/>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处室代编预算－经济建设处0001号</w:t>
            </w:r>
          </w:p>
        </w:tc>
        <w:tc>
          <w:tcPr>
            <w:tcW w:w="725"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17.8</w:t>
            </w:r>
          </w:p>
        </w:tc>
        <w:tc>
          <w:tcPr>
            <w:tcW w:w="661"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8</w:t>
            </w:r>
          </w:p>
        </w:tc>
        <w:tc>
          <w:tcPr>
            <w:tcW w:w="2284" w:type="pct"/>
            <w:vAlign w:val="center"/>
          </w:tcPr>
          <w:p>
            <w:pPr>
              <w:numPr>
                <w:ilvl w:val="0"/>
                <w:numId w:val="0"/>
              </w:numPr>
              <w:jc w:val="left"/>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b w:val="0"/>
                <w:bCs w:val="0"/>
                <w:color w:val="auto"/>
                <w:sz w:val="20"/>
                <w:szCs w:val="20"/>
                <w:lang w:val="en-US" w:eastAsia="zh-CN"/>
              </w:rPr>
              <w:t>湖南省现代服务业发展专项</w:t>
            </w:r>
          </w:p>
        </w:tc>
        <w:tc>
          <w:tcPr>
            <w:tcW w:w="1009"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处室代编预算－外经处0001号</w:t>
            </w:r>
          </w:p>
        </w:tc>
        <w:tc>
          <w:tcPr>
            <w:tcW w:w="725"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160</w:t>
            </w:r>
          </w:p>
        </w:tc>
        <w:tc>
          <w:tcPr>
            <w:tcW w:w="661"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numPr>
                <w:ilvl w:val="0"/>
                <w:numId w:val="0"/>
              </w:numPr>
              <w:ind w:left="0" w:leftChars="0" w:firstLine="0" w:firstLineChars="0"/>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9</w:t>
            </w:r>
          </w:p>
        </w:tc>
        <w:tc>
          <w:tcPr>
            <w:tcW w:w="2284" w:type="pct"/>
            <w:vAlign w:val="center"/>
          </w:tcPr>
          <w:p>
            <w:pPr>
              <w:numPr>
                <w:ilvl w:val="0"/>
                <w:numId w:val="0"/>
              </w:numPr>
              <w:ind w:left="0" w:leftChars="0" w:firstLine="0" w:firstLineChars="0"/>
              <w:jc w:val="left"/>
              <w:rPr>
                <w:rFonts w:hint="default" w:ascii="Times New Roman" w:hAnsi="Times New Roman" w:eastAsia="仿宋" w:cs="Times New Roman"/>
                <w:b w:val="0"/>
                <w:bCs w:val="0"/>
                <w:color w:val="auto"/>
                <w:sz w:val="20"/>
                <w:szCs w:val="20"/>
                <w:lang w:val="en-US" w:eastAsia="zh-CN"/>
              </w:rPr>
            </w:pPr>
            <w:r>
              <w:rPr>
                <w:rFonts w:hint="default" w:ascii="Times New Roman" w:hAnsi="Times New Roman" w:eastAsia="仿宋" w:cs="Times New Roman"/>
                <w:b w:val="0"/>
                <w:bCs w:val="0"/>
                <w:color w:val="auto"/>
                <w:sz w:val="20"/>
                <w:szCs w:val="20"/>
                <w:lang w:val="en-US" w:eastAsia="zh-CN"/>
              </w:rPr>
              <w:t>动植物保护专项</w:t>
            </w:r>
          </w:p>
        </w:tc>
        <w:tc>
          <w:tcPr>
            <w:tcW w:w="1009" w:type="pct"/>
            <w:vAlign w:val="center"/>
          </w:tcPr>
          <w:p>
            <w:pPr>
              <w:numPr>
                <w:ilvl w:val="0"/>
                <w:numId w:val="0"/>
              </w:numPr>
              <w:ind w:left="0" w:leftChars="0" w:firstLine="0" w:firstLineChars="0"/>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2021〔湘财预－专项〕0001号</w:t>
            </w:r>
          </w:p>
        </w:tc>
        <w:tc>
          <w:tcPr>
            <w:tcW w:w="725" w:type="pct"/>
            <w:vAlign w:val="center"/>
          </w:tcPr>
          <w:p>
            <w:pPr>
              <w:numPr>
                <w:ilvl w:val="0"/>
                <w:numId w:val="0"/>
              </w:numPr>
              <w:ind w:left="0" w:leftChars="0" w:firstLine="0" w:firstLineChars="0"/>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91</w:t>
            </w:r>
          </w:p>
        </w:tc>
        <w:tc>
          <w:tcPr>
            <w:tcW w:w="661" w:type="pct"/>
            <w:vAlign w:val="center"/>
          </w:tcPr>
          <w:p>
            <w:pPr>
              <w:numPr>
                <w:ilvl w:val="0"/>
                <w:numId w:val="0"/>
              </w:numPr>
              <w:ind w:left="0" w:leftChars="0" w:firstLine="0" w:firstLineChars="0"/>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10</w:t>
            </w:r>
          </w:p>
        </w:tc>
        <w:tc>
          <w:tcPr>
            <w:tcW w:w="2284" w:type="pct"/>
            <w:vMerge w:val="restart"/>
            <w:vAlign w:val="center"/>
          </w:tcPr>
          <w:p>
            <w:pPr>
              <w:numPr>
                <w:ilvl w:val="0"/>
                <w:numId w:val="0"/>
              </w:numPr>
              <w:jc w:val="left"/>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b w:val="0"/>
                <w:bCs w:val="0"/>
                <w:color w:val="auto"/>
                <w:sz w:val="20"/>
                <w:szCs w:val="20"/>
                <w:lang w:val="en-US" w:eastAsia="zh-CN"/>
              </w:rPr>
              <w:t>创新型省份建设专项</w:t>
            </w:r>
          </w:p>
        </w:tc>
        <w:tc>
          <w:tcPr>
            <w:tcW w:w="1009"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2021〔湘财预－结余〕0020号</w:t>
            </w:r>
          </w:p>
        </w:tc>
        <w:tc>
          <w:tcPr>
            <w:tcW w:w="725"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100</w:t>
            </w:r>
          </w:p>
        </w:tc>
        <w:tc>
          <w:tcPr>
            <w:tcW w:w="661"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18" w:type="pct"/>
            <w:vMerge w:val="continue"/>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p>
        </w:tc>
        <w:tc>
          <w:tcPr>
            <w:tcW w:w="2284" w:type="pct"/>
            <w:vMerge w:val="continue"/>
            <w:vAlign w:val="top"/>
          </w:tcPr>
          <w:p>
            <w:pPr>
              <w:numPr>
                <w:ilvl w:val="0"/>
                <w:numId w:val="0"/>
              </w:numPr>
              <w:jc w:val="both"/>
              <w:rPr>
                <w:rFonts w:hint="default" w:ascii="Times New Roman" w:hAnsi="Times New Roman" w:eastAsia="仿宋" w:cs="Times New Roman"/>
                <w:b w:val="0"/>
                <w:bCs w:val="0"/>
                <w:color w:val="auto"/>
                <w:sz w:val="20"/>
                <w:szCs w:val="20"/>
                <w:lang w:val="en-US" w:eastAsia="zh-CN"/>
              </w:rPr>
            </w:pPr>
          </w:p>
        </w:tc>
        <w:tc>
          <w:tcPr>
            <w:tcW w:w="1009"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处室代编预算－科教处0001号</w:t>
            </w:r>
          </w:p>
        </w:tc>
        <w:tc>
          <w:tcPr>
            <w:tcW w:w="725"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100</w:t>
            </w:r>
          </w:p>
        </w:tc>
        <w:tc>
          <w:tcPr>
            <w:tcW w:w="661"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11</w:t>
            </w:r>
          </w:p>
        </w:tc>
        <w:tc>
          <w:tcPr>
            <w:tcW w:w="2284" w:type="pct"/>
            <w:vAlign w:val="center"/>
          </w:tcPr>
          <w:p>
            <w:pPr>
              <w:numPr>
                <w:ilvl w:val="0"/>
                <w:numId w:val="0"/>
              </w:numPr>
              <w:jc w:val="left"/>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b w:val="0"/>
                <w:bCs w:val="0"/>
                <w:color w:val="auto"/>
                <w:sz w:val="20"/>
                <w:szCs w:val="20"/>
                <w:lang w:val="en-US" w:eastAsia="zh-CN"/>
              </w:rPr>
              <w:t>湿地保护专项</w:t>
            </w:r>
          </w:p>
        </w:tc>
        <w:tc>
          <w:tcPr>
            <w:tcW w:w="1009"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2021〔湘财预－专项〕0001号</w:t>
            </w:r>
          </w:p>
        </w:tc>
        <w:tc>
          <w:tcPr>
            <w:tcW w:w="725"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50</w:t>
            </w:r>
          </w:p>
        </w:tc>
        <w:tc>
          <w:tcPr>
            <w:tcW w:w="661"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12</w:t>
            </w:r>
          </w:p>
        </w:tc>
        <w:tc>
          <w:tcPr>
            <w:tcW w:w="2284" w:type="pct"/>
            <w:vAlign w:val="center"/>
          </w:tcPr>
          <w:p>
            <w:pPr>
              <w:numPr>
                <w:ilvl w:val="0"/>
                <w:numId w:val="0"/>
              </w:numPr>
              <w:jc w:val="left"/>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b w:val="0"/>
                <w:bCs w:val="0"/>
                <w:color w:val="auto"/>
                <w:sz w:val="20"/>
                <w:szCs w:val="20"/>
                <w:lang w:val="en-US" w:eastAsia="zh-CN"/>
              </w:rPr>
              <w:t>对外合作与交流专项</w:t>
            </w:r>
          </w:p>
        </w:tc>
        <w:tc>
          <w:tcPr>
            <w:tcW w:w="1009"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2021〔湘财预－专项〕0001号</w:t>
            </w:r>
          </w:p>
        </w:tc>
        <w:tc>
          <w:tcPr>
            <w:tcW w:w="725"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35</w:t>
            </w:r>
          </w:p>
        </w:tc>
        <w:tc>
          <w:tcPr>
            <w:tcW w:w="661"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13</w:t>
            </w:r>
          </w:p>
        </w:tc>
        <w:tc>
          <w:tcPr>
            <w:tcW w:w="2284" w:type="pct"/>
            <w:vAlign w:val="center"/>
          </w:tcPr>
          <w:p>
            <w:pPr>
              <w:numPr>
                <w:ilvl w:val="0"/>
                <w:numId w:val="0"/>
              </w:numPr>
              <w:jc w:val="left"/>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b w:val="0"/>
                <w:bCs w:val="0"/>
                <w:color w:val="auto"/>
                <w:sz w:val="20"/>
                <w:szCs w:val="20"/>
                <w:lang w:val="en-US" w:eastAsia="zh-CN"/>
              </w:rPr>
              <w:t>技术推广与转化专项</w:t>
            </w:r>
          </w:p>
        </w:tc>
        <w:tc>
          <w:tcPr>
            <w:tcW w:w="1009"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2021〔湘财预－专项〕0001号</w:t>
            </w:r>
          </w:p>
        </w:tc>
        <w:tc>
          <w:tcPr>
            <w:tcW w:w="725"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108</w:t>
            </w:r>
          </w:p>
        </w:tc>
        <w:tc>
          <w:tcPr>
            <w:tcW w:w="661"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14</w:t>
            </w:r>
          </w:p>
        </w:tc>
        <w:tc>
          <w:tcPr>
            <w:tcW w:w="2284" w:type="pct"/>
            <w:vMerge w:val="restart"/>
            <w:vAlign w:val="center"/>
          </w:tcPr>
          <w:p>
            <w:pPr>
              <w:numPr>
                <w:ilvl w:val="0"/>
                <w:numId w:val="0"/>
              </w:numPr>
              <w:jc w:val="left"/>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b w:val="0"/>
                <w:bCs w:val="0"/>
                <w:color w:val="auto"/>
                <w:sz w:val="20"/>
                <w:szCs w:val="20"/>
                <w:lang w:val="en-US" w:eastAsia="zh-CN"/>
              </w:rPr>
              <w:t>事业运行</w:t>
            </w:r>
          </w:p>
        </w:tc>
        <w:tc>
          <w:tcPr>
            <w:tcW w:w="1009"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2021〔湘财预〕0001号</w:t>
            </w:r>
          </w:p>
        </w:tc>
        <w:tc>
          <w:tcPr>
            <w:tcW w:w="725"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226</w:t>
            </w:r>
          </w:p>
        </w:tc>
        <w:tc>
          <w:tcPr>
            <w:tcW w:w="661"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numPr>
                <w:ilvl w:val="0"/>
                <w:numId w:val="0"/>
              </w:numPr>
              <w:jc w:val="left"/>
              <w:rPr>
                <w:rFonts w:hint="default" w:ascii="Times New Roman" w:hAnsi="Times New Roman" w:eastAsia="仿宋" w:cs="Times New Roman"/>
                <w:color w:val="auto"/>
                <w:kern w:val="0"/>
                <w:sz w:val="20"/>
                <w:szCs w:val="20"/>
                <w:vertAlign w:val="baseline"/>
                <w:lang w:val="en-US" w:eastAsia="zh-CN"/>
              </w:rPr>
            </w:pPr>
          </w:p>
        </w:tc>
        <w:tc>
          <w:tcPr>
            <w:tcW w:w="2284" w:type="pct"/>
            <w:vMerge w:val="continue"/>
          </w:tcPr>
          <w:p>
            <w:pPr>
              <w:numPr>
                <w:ilvl w:val="0"/>
                <w:numId w:val="0"/>
              </w:numPr>
              <w:jc w:val="left"/>
              <w:rPr>
                <w:rFonts w:hint="default" w:ascii="Times New Roman" w:hAnsi="Times New Roman" w:eastAsia="仿宋" w:cs="Times New Roman"/>
                <w:color w:val="auto"/>
                <w:kern w:val="0"/>
                <w:sz w:val="20"/>
                <w:szCs w:val="20"/>
                <w:vertAlign w:val="baseline"/>
                <w:lang w:val="en-US" w:eastAsia="zh-CN"/>
              </w:rPr>
            </w:pPr>
          </w:p>
        </w:tc>
        <w:tc>
          <w:tcPr>
            <w:tcW w:w="1009" w:type="pct"/>
          </w:tcPr>
          <w:p>
            <w:pPr>
              <w:numPr>
                <w:ilvl w:val="0"/>
                <w:numId w:val="0"/>
              </w:numPr>
              <w:jc w:val="left"/>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2021〔湘财预－专项〕0001号</w:t>
            </w:r>
          </w:p>
        </w:tc>
        <w:tc>
          <w:tcPr>
            <w:tcW w:w="725"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20</w:t>
            </w:r>
          </w:p>
        </w:tc>
        <w:tc>
          <w:tcPr>
            <w:tcW w:w="661"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tcPr>
          <w:p>
            <w:pPr>
              <w:numPr>
                <w:ilvl w:val="0"/>
                <w:numId w:val="0"/>
              </w:numPr>
              <w:jc w:val="left"/>
              <w:rPr>
                <w:rFonts w:hint="default" w:ascii="Times New Roman" w:hAnsi="Times New Roman" w:eastAsia="仿宋" w:cs="Times New Roman"/>
                <w:color w:val="auto"/>
                <w:kern w:val="0"/>
                <w:sz w:val="20"/>
                <w:szCs w:val="20"/>
                <w:vertAlign w:val="baseline"/>
                <w:lang w:val="en-US" w:eastAsia="zh-CN"/>
              </w:rPr>
            </w:pPr>
          </w:p>
        </w:tc>
        <w:tc>
          <w:tcPr>
            <w:tcW w:w="2284" w:type="pct"/>
          </w:tcPr>
          <w:p>
            <w:pPr>
              <w:numPr>
                <w:ilvl w:val="0"/>
                <w:numId w:val="0"/>
              </w:numPr>
              <w:jc w:val="left"/>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 xml:space="preserve">       合     计</w:t>
            </w:r>
          </w:p>
        </w:tc>
        <w:tc>
          <w:tcPr>
            <w:tcW w:w="1009" w:type="pct"/>
          </w:tcPr>
          <w:p>
            <w:pPr>
              <w:numPr>
                <w:ilvl w:val="0"/>
                <w:numId w:val="0"/>
              </w:numPr>
              <w:jc w:val="left"/>
              <w:rPr>
                <w:rFonts w:hint="default" w:ascii="Times New Roman" w:hAnsi="Times New Roman" w:eastAsia="仿宋" w:cs="Times New Roman"/>
                <w:color w:val="auto"/>
                <w:kern w:val="0"/>
                <w:sz w:val="20"/>
                <w:szCs w:val="20"/>
                <w:vertAlign w:val="baseline"/>
                <w:lang w:val="en-US" w:eastAsia="zh-CN"/>
              </w:rPr>
            </w:pPr>
          </w:p>
        </w:tc>
        <w:tc>
          <w:tcPr>
            <w:tcW w:w="725"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3108.80</w:t>
            </w:r>
          </w:p>
        </w:tc>
        <w:tc>
          <w:tcPr>
            <w:tcW w:w="661" w:type="pct"/>
            <w:vAlign w:val="center"/>
          </w:tcPr>
          <w:p>
            <w:pPr>
              <w:numPr>
                <w:ilvl w:val="0"/>
                <w:numId w:val="0"/>
              </w:numPr>
              <w:jc w:val="center"/>
              <w:rPr>
                <w:rFonts w:hint="default" w:ascii="Times New Roman" w:hAnsi="Times New Roman" w:eastAsia="仿宋" w:cs="Times New Roman"/>
                <w:color w:val="auto"/>
                <w:kern w:val="0"/>
                <w:sz w:val="20"/>
                <w:szCs w:val="20"/>
                <w:vertAlign w:val="baseline"/>
                <w:lang w:val="en-US" w:eastAsia="zh-CN"/>
              </w:rPr>
            </w:pPr>
            <w:r>
              <w:rPr>
                <w:rFonts w:hint="default" w:ascii="Times New Roman" w:hAnsi="Times New Roman" w:eastAsia="仿宋" w:cs="Times New Roman"/>
                <w:color w:val="auto"/>
                <w:kern w:val="0"/>
                <w:sz w:val="20"/>
                <w:szCs w:val="20"/>
                <w:vertAlign w:val="baseline"/>
                <w:lang w:val="en-US" w:eastAsia="zh-CN"/>
              </w:rPr>
              <w:t>3111.82</w:t>
            </w:r>
          </w:p>
        </w:tc>
      </w:tr>
    </w:tbl>
    <w:p>
      <w:pPr>
        <w:numPr>
          <w:ilvl w:val="0"/>
          <w:numId w:val="1"/>
        </w:numPr>
        <w:jc w:val="left"/>
        <w:rPr>
          <w:rFonts w:hint="default" w:ascii="Times New Roman" w:hAnsi="Times New Roman" w:cs="Times New Roman" w:eastAsiaTheme="majorEastAsia"/>
          <w:b/>
          <w:bCs/>
          <w:color w:val="auto"/>
          <w:sz w:val="30"/>
          <w:szCs w:val="30"/>
          <w:lang w:val="en-US" w:eastAsia="zh-CN"/>
        </w:rPr>
      </w:pPr>
      <w:r>
        <w:rPr>
          <w:rFonts w:hint="default" w:ascii="Times New Roman" w:hAnsi="Times New Roman" w:cs="Times New Roman" w:eastAsiaTheme="majorEastAsia"/>
          <w:b/>
          <w:bCs/>
          <w:color w:val="auto"/>
          <w:sz w:val="30"/>
          <w:szCs w:val="30"/>
          <w:lang w:val="en-US" w:eastAsia="zh-CN"/>
        </w:rPr>
        <w:t>部门整体支出绩效情况</w:t>
      </w:r>
    </w:p>
    <w:p>
      <w:pPr>
        <w:pStyle w:val="4"/>
        <w:numPr>
          <w:ilvl w:val="0"/>
          <w:numId w:val="2"/>
        </w:numPr>
        <w:ind w:left="301" w:leftChars="0" w:firstLine="0" w:firstLineChars="0"/>
        <w:rPr>
          <w:rFonts w:hint="default" w:ascii="Times New Roman" w:hAnsi="Times New Roman" w:cs="Times New Roman" w:eastAsiaTheme="majorEastAsia"/>
          <w:b/>
          <w:bCs/>
          <w:color w:val="auto"/>
          <w:sz w:val="30"/>
          <w:szCs w:val="30"/>
          <w:lang w:val="en-US" w:eastAsia="zh-CN"/>
        </w:rPr>
      </w:pPr>
      <w:r>
        <w:rPr>
          <w:rFonts w:hint="default" w:ascii="Times New Roman" w:hAnsi="Times New Roman" w:cs="Times New Roman" w:eastAsiaTheme="majorEastAsia"/>
          <w:b/>
          <w:bCs/>
          <w:color w:val="auto"/>
          <w:sz w:val="30"/>
          <w:szCs w:val="30"/>
          <w:lang w:val="en-US" w:eastAsia="zh-CN"/>
        </w:rPr>
        <w:t>整体绩效目标</w:t>
      </w:r>
    </w:p>
    <w:p>
      <w:pPr>
        <w:numPr>
          <w:ilvl w:val="0"/>
          <w:numId w:val="0"/>
        </w:numPr>
        <w:ind w:firstLine="602"/>
        <w:jc w:val="left"/>
        <w:rPr>
          <w:rFonts w:hint="default" w:ascii="Times New Roman" w:hAnsi="Times New Roman" w:eastAsia="仿宋" w:cs="Times New Roman"/>
          <w:color w:val="auto"/>
          <w:kern w:val="0"/>
          <w:sz w:val="30"/>
          <w:szCs w:val="30"/>
          <w:lang w:val="en-US" w:eastAsia="zh-CN"/>
        </w:rPr>
      </w:pPr>
      <w:r>
        <w:rPr>
          <w:rFonts w:hint="default" w:ascii="Times New Roman" w:hAnsi="Times New Roman" w:eastAsia="仿宋" w:cs="Times New Roman"/>
          <w:color w:val="auto"/>
          <w:kern w:val="0"/>
          <w:sz w:val="30"/>
          <w:szCs w:val="30"/>
          <w:lang w:val="en-US" w:eastAsia="zh-CN"/>
        </w:rPr>
        <w:t>我院属于财政差额拨款单位，因受新冠疫情与政府投资项目资金短缺的双重影响，我院勘察设计项目收费到位情况严峻，2021年省级财政资金人员经费和公用经费仍然存在资金方面的缺口，2021年本院在职职工基本工资、津补贴及“五险两金”社会保障支出为8014.89万元，离退休人员经费支出为1009.54万元，财政拨款在一定程度上保障了人员的稳定及各项业务正常运行。</w:t>
      </w:r>
    </w:p>
    <w:p>
      <w:pPr>
        <w:numPr>
          <w:ilvl w:val="0"/>
          <w:numId w:val="0"/>
        </w:numPr>
        <w:ind w:firstLine="602"/>
        <w:jc w:val="left"/>
        <w:rPr>
          <w:rFonts w:hint="default" w:ascii="Times New Roman" w:hAnsi="Times New Roman" w:eastAsia="仿宋" w:cs="Times New Roman"/>
          <w:color w:val="auto"/>
          <w:kern w:val="0"/>
          <w:sz w:val="30"/>
          <w:szCs w:val="30"/>
          <w:lang w:val="en-US" w:eastAsia="zh-CN"/>
        </w:rPr>
      </w:pPr>
      <w:r>
        <w:rPr>
          <w:rFonts w:hint="default" w:ascii="Times New Roman" w:hAnsi="Times New Roman" w:eastAsia="仿宋" w:cs="Times New Roman"/>
          <w:color w:val="auto"/>
          <w:kern w:val="0"/>
          <w:sz w:val="30"/>
          <w:szCs w:val="30"/>
          <w:lang w:val="en-US" w:eastAsia="zh-CN"/>
        </w:rPr>
        <w:t xml:space="preserve"> 2021年各省级财政专项资金依据《中华人民共和国预算法》、《中华人民共和国预算法实施条例》、《中共中央国务院关于全面实施预算绩效管理的意见》（中发〔2018〕34 号）、《项目支出绩效评价管理办法》（财预〔2020〕10 号）、《湖南省委办公厅 湖南省人民政府办公厅关于全面实施预算绩效管理的实施意见》（湘办发〔2019〕10 号）、《湖南省省级财政专项资金分配审批管理办法》（湘政办发〔2015〕90 号）、《湖南省林业生态保护修复及发展资金管理办法》（湘财资环〔2020〕33 号）、湖南省财政厅关于印发《湖南省预算绩效目标管理办法》的通知（湘财绩〔2020〕6 号）、湖南省财政厅关于印发《湖南省预算支出绩效评价管理办法》的通知（湘财绩〔2020〕7 号）、《湖南省财政厅关于开展 2021 年度部门绩效自评工作的通知》（湘财绩〔2022〕1 号）以及中央、省相关政策规定和财务会计制度，保证了资金的专人专户管理、专款专用和各项目的正常运作，并达到个专项预期目标和实现各项预期效益。</w:t>
      </w:r>
    </w:p>
    <w:p>
      <w:pPr>
        <w:numPr>
          <w:ilvl w:val="0"/>
          <w:numId w:val="0"/>
        </w:numPr>
        <w:ind w:firstLine="602"/>
        <w:jc w:val="left"/>
        <w:rPr>
          <w:rFonts w:hint="default" w:ascii="Times New Roman" w:hAnsi="Times New Roman" w:eastAsia="仿宋" w:cs="Times New Roman"/>
          <w:color w:val="auto"/>
          <w:kern w:val="0"/>
          <w:sz w:val="30"/>
          <w:szCs w:val="30"/>
          <w:lang w:val="en-US" w:eastAsia="zh-CN"/>
        </w:rPr>
      </w:pPr>
      <w:r>
        <w:rPr>
          <w:rFonts w:hint="default" w:ascii="Times New Roman" w:hAnsi="Times New Roman" w:eastAsia="仿宋" w:cs="Times New Roman"/>
          <w:color w:val="auto"/>
          <w:kern w:val="0"/>
          <w:sz w:val="30"/>
          <w:szCs w:val="30"/>
          <w:lang w:val="en-US" w:eastAsia="zh-CN"/>
        </w:rPr>
        <w:t>年初预算数4455.26万元，全年预算数6537.26万元，全年执行数6533.06万元，执行率99.94%，自评分9.99分；产出指标自评50分；效益指标自评分28.84分；满意度自评分9.92分；以上各项整体自评分98.75分。</w:t>
      </w:r>
    </w:p>
    <w:p>
      <w:pPr>
        <w:numPr>
          <w:ilvl w:val="0"/>
          <w:numId w:val="0"/>
        </w:numPr>
        <w:ind w:firstLine="300" w:firstLineChars="100"/>
        <w:jc w:val="left"/>
        <w:rPr>
          <w:rFonts w:hint="default" w:ascii="Times New Roman" w:hAnsi="Times New Roman" w:eastAsia="仿宋" w:cs="Times New Roman"/>
          <w:b/>
          <w:bCs/>
          <w:color w:val="auto"/>
          <w:sz w:val="30"/>
          <w:szCs w:val="30"/>
          <w:lang w:val="en-US" w:eastAsia="zh-CN"/>
        </w:rPr>
      </w:pPr>
      <w:r>
        <w:rPr>
          <w:rFonts w:hint="default" w:ascii="Times New Roman" w:hAnsi="Times New Roman" w:eastAsia="仿宋" w:cs="Times New Roman"/>
          <w:b/>
          <w:bCs/>
          <w:color w:val="auto"/>
          <w:sz w:val="30"/>
          <w:szCs w:val="30"/>
          <w:lang w:val="en-US" w:eastAsia="zh-CN"/>
        </w:rPr>
        <w:t>（二）各专项绩效指标完成情况以及预算执行情况具体情况如下：</w:t>
      </w:r>
    </w:p>
    <w:p>
      <w:pPr>
        <w:numPr>
          <w:ilvl w:val="0"/>
          <w:numId w:val="0"/>
        </w:numPr>
        <w:ind w:firstLine="600" w:firstLineChars="200"/>
        <w:jc w:val="left"/>
        <w:rPr>
          <w:rFonts w:hint="default" w:ascii="Times New Roman" w:hAnsi="Times New Roman" w:eastAsia="仿宋" w:cs="Times New Roman"/>
          <w:b/>
          <w:bCs/>
          <w:color w:val="auto"/>
          <w:sz w:val="30"/>
          <w:szCs w:val="30"/>
          <w:lang w:val="en-US" w:eastAsia="zh-CN"/>
        </w:rPr>
      </w:pPr>
      <w:r>
        <w:rPr>
          <w:rFonts w:hint="default" w:ascii="Times New Roman" w:hAnsi="Times New Roman" w:eastAsia="仿宋" w:cs="Times New Roman"/>
          <w:b/>
          <w:bCs/>
          <w:color w:val="auto"/>
          <w:sz w:val="30"/>
          <w:szCs w:val="30"/>
          <w:lang w:val="en-US" w:eastAsia="zh-CN"/>
        </w:rPr>
        <w:t>1、森林生态效益补偿专项</w:t>
      </w:r>
    </w:p>
    <w:p>
      <w:pPr>
        <w:numPr>
          <w:ilvl w:val="0"/>
          <w:numId w:val="0"/>
        </w:numPr>
        <w:ind w:firstLine="600" w:firstLineChars="200"/>
        <w:jc w:val="left"/>
        <w:rPr>
          <w:rFonts w:hint="default" w:ascii="Times New Roman" w:hAnsi="Times New Roman" w:eastAsia="仿宋" w:cs="Times New Roman"/>
          <w:b w:val="0"/>
          <w:bCs w:val="0"/>
          <w:color w:val="auto"/>
          <w:sz w:val="30"/>
          <w:szCs w:val="30"/>
          <w:lang w:val="en-US" w:eastAsia="zh-CN"/>
        </w:rPr>
      </w:pPr>
      <w:r>
        <w:rPr>
          <w:rFonts w:hint="default" w:ascii="Times New Roman" w:hAnsi="Times New Roman" w:eastAsia="仿宋" w:cs="Times New Roman"/>
          <w:b w:val="0"/>
          <w:bCs w:val="0"/>
          <w:color w:val="auto"/>
          <w:sz w:val="30"/>
          <w:szCs w:val="30"/>
          <w:lang w:val="en-US" w:eastAsia="zh-CN"/>
        </w:rPr>
        <w:t>包括2个预算子项目：森林资源管理“一张图”年度更新395万元，公益林数据库和国土三调数据库数据融合314万元，合计709万元。</w:t>
      </w:r>
    </w:p>
    <w:p>
      <w:pPr>
        <w:pStyle w:val="16"/>
        <w:spacing w:line="360" w:lineRule="auto"/>
        <w:ind w:firstLine="600"/>
        <w:rPr>
          <w:rFonts w:hint="default" w:ascii="Times New Roman" w:hAnsi="Times New Roman" w:eastAsia="仿宋" w:cs="Times New Roman"/>
          <w:b w:val="0"/>
          <w:bCs w:val="0"/>
          <w:color w:val="auto"/>
          <w:sz w:val="30"/>
          <w:szCs w:val="30"/>
          <w:lang w:val="en-US" w:eastAsia="zh-CN"/>
        </w:rPr>
      </w:pPr>
      <w:r>
        <w:rPr>
          <w:rFonts w:hint="default" w:ascii="Times New Roman" w:hAnsi="Times New Roman" w:eastAsia="仿宋" w:cs="Times New Roman"/>
          <w:b w:val="0"/>
          <w:bCs w:val="0"/>
          <w:color w:val="auto"/>
          <w:sz w:val="30"/>
          <w:szCs w:val="30"/>
          <w:lang w:val="en-US" w:eastAsia="zh-CN"/>
        </w:rPr>
        <w:t>(1)绩效目标</w:t>
      </w:r>
    </w:p>
    <w:p>
      <w:pPr>
        <w:pStyle w:val="16"/>
        <w:numPr>
          <w:ilvl w:val="0"/>
          <w:numId w:val="0"/>
        </w:numPr>
        <w:spacing w:line="360" w:lineRule="auto"/>
        <w:ind w:firstLine="600" w:firstLineChars="2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lang w:eastAsia="zh-CN"/>
        </w:rPr>
        <w:t>负</w:t>
      </w:r>
      <w:r>
        <w:rPr>
          <w:rFonts w:hint="default" w:ascii="Times New Roman" w:hAnsi="Times New Roman" w:eastAsia="仿宋" w:cs="Times New Roman"/>
          <w:color w:val="auto"/>
          <w:sz w:val="30"/>
          <w:szCs w:val="30"/>
        </w:rPr>
        <w:t>责全省2021年森林资源管理“一张图”年度更新技术标准的制定、解释与说明负责全省森林资源管理“一张图”年度更新基础数据的准备、处理（分发），做好省级技术培训工作；负责全省各县森林资源管理“一张图”年度更新技术指导、质量检查、成果汇总；配合国家级验收；与全省各县共同完成数据库修改入库、省级成果报告编写与上报等</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完成了公益林数据库和国土三调数据库数据融合研究，优化了公益林范围，统一底图底数。</w:t>
      </w:r>
    </w:p>
    <w:p>
      <w:pPr>
        <w:pStyle w:val="16"/>
        <w:spacing w:line="360" w:lineRule="auto"/>
        <w:ind w:left="0" w:leftChars="0" w:firstLine="600" w:firstLineChars="200"/>
        <w:jc w:val="left"/>
        <w:rPr>
          <w:rFonts w:hint="default" w:ascii="Times New Roman" w:hAnsi="Times New Roman" w:eastAsia="仿宋" w:cs="Times New Roman"/>
          <w:b w:val="0"/>
          <w:bCs w:val="0"/>
          <w:color w:val="auto"/>
          <w:sz w:val="30"/>
          <w:szCs w:val="30"/>
          <w:lang w:val="en-US" w:eastAsia="zh-CN"/>
        </w:rPr>
      </w:pPr>
      <w:r>
        <w:rPr>
          <w:rFonts w:hint="default" w:ascii="Times New Roman" w:hAnsi="Times New Roman" w:eastAsia="仿宋" w:cs="Times New Roman"/>
          <w:b w:val="0"/>
          <w:bCs w:val="0"/>
          <w:color w:val="auto"/>
          <w:sz w:val="30"/>
          <w:szCs w:val="30"/>
          <w:lang w:val="en-US" w:eastAsia="zh-CN"/>
        </w:rPr>
        <w:t>（2）专项资金使用情况及管理情况</w:t>
      </w:r>
    </w:p>
    <w:p>
      <w:pPr>
        <w:pStyle w:val="16"/>
        <w:numPr>
          <w:ilvl w:val="0"/>
          <w:numId w:val="0"/>
        </w:numPr>
        <w:spacing w:line="360" w:lineRule="auto"/>
        <w:ind w:firstLine="600" w:firstLineChars="2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本</w:t>
      </w:r>
      <w:r>
        <w:rPr>
          <w:rFonts w:hint="default" w:ascii="Times New Roman" w:hAnsi="Times New Roman" w:eastAsia="仿宋" w:cs="Times New Roman"/>
          <w:color w:val="auto"/>
          <w:sz w:val="30"/>
          <w:szCs w:val="30"/>
          <w:lang w:eastAsia="zh-CN"/>
        </w:rPr>
        <w:t>专</w:t>
      </w:r>
      <w:r>
        <w:rPr>
          <w:rFonts w:hint="default" w:ascii="Times New Roman" w:hAnsi="Times New Roman" w:eastAsia="仿宋" w:cs="Times New Roman"/>
          <w:color w:val="auto"/>
          <w:sz w:val="30"/>
          <w:szCs w:val="30"/>
        </w:rPr>
        <w:t>项</w:t>
      </w:r>
      <w:r>
        <w:rPr>
          <w:rFonts w:hint="default" w:ascii="Times New Roman" w:hAnsi="Times New Roman" w:eastAsia="仿宋" w:cs="Times New Roman"/>
          <w:color w:val="auto"/>
          <w:sz w:val="30"/>
          <w:szCs w:val="30"/>
          <w:lang w:eastAsia="zh-CN"/>
        </w:rPr>
        <w:t>财政拨款</w:t>
      </w:r>
      <w:r>
        <w:rPr>
          <w:rFonts w:hint="default" w:ascii="Times New Roman" w:hAnsi="Times New Roman" w:eastAsia="仿宋" w:cs="Times New Roman"/>
          <w:color w:val="auto"/>
          <w:sz w:val="30"/>
          <w:szCs w:val="30"/>
          <w:lang w:val="en-US" w:eastAsia="zh-CN"/>
        </w:rPr>
        <w:t>709</w:t>
      </w:r>
      <w:r>
        <w:rPr>
          <w:rFonts w:hint="default" w:ascii="Times New Roman" w:hAnsi="Times New Roman" w:eastAsia="仿宋" w:cs="Times New Roman"/>
          <w:color w:val="auto"/>
          <w:sz w:val="30"/>
          <w:szCs w:val="30"/>
        </w:rPr>
        <w:t>万元，实际支出</w:t>
      </w:r>
      <w:r>
        <w:rPr>
          <w:rFonts w:hint="default" w:ascii="Times New Roman" w:hAnsi="Times New Roman" w:eastAsia="仿宋" w:cs="Times New Roman"/>
          <w:color w:val="auto"/>
          <w:sz w:val="30"/>
          <w:szCs w:val="30"/>
          <w:lang w:val="en-US" w:eastAsia="zh-CN"/>
        </w:rPr>
        <w:t>709</w:t>
      </w:r>
      <w:r>
        <w:rPr>
          <w:rFonts w:hint="default" w:ascii="Times New Roman" w:hAnsi="Times New Roman" w:eastAsia="仿宋" w:cs="Times New Roman"/>
          <w:color w:val="auto"/>
          <w:sz w:val="30"/>
          <w:szCs w:val="30"/>
        </w:rPr>
        <w:t>万元，支出率</w:t>
      </w:r>
      <w:r>
        <w:rPr>
          <w:rFonts w:hint="default" w:ascii="Times New Roman" w:hAnsi="Times New Roman" w:eastAsia="仿宋" w:cs="Times New Roman"/>
          <w:color w:val="auto"/>
          <w:sz w:val="30"/>
          <w:szCs w:val="30"/>
          <w:lang w:val="en-US" w:eastAsia="zh-CN"/>
        </w:rPr>
        <w:t>100</w:t>
      </w:r>
      <w:r>
        <w:rPr>
          <w:rFonts w:hint="default" w:ascii="Times New Roman" w:hAnsi="Times New Roman" w:eastAsia="仿宋" w:cs="Times New Roman"/>
          <w:color w:val="auto"/>
          <w:sz w:val="30"/>
          <w:szCs w:val="30"/>
        </w:rPr>
        <w:t>%。项目纳入我院资金使用年度预算，实行单独核算、专人负责、专款专用，主要用于咨询费、差旅费、劳务费的支付</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按照《湖南省财政厅关于深入推进省级专项资金实质性整合 全面实施预算绩效管理的通知》要求，对单位之间性质相同、用途相近的专项资金进行了整合，使得一些财政拨款专项下面存在有若干个子项目的情况。由于我单位是差额拨款的单位，这些子项目从资金的划分、支付到入账具体金额是多少在财政支付系统上没有直接的体现，因此在专项总金额跟财政拨款保持一致的情况下，子项目之间的资金实际支出存在差异和调整。</w:t>
      </w:r>
    </w:p>
    <w:p>
      <w:pPr>
        <w:pStyle w:val="16"/>
        <w:numPr>
          <w:ilvl w:val="0"/>
          <w:numId w:val="0"/>
        </w:numPr>
        <w:spacing w:line="360" w:lineRule="auto"/>
        <w:ind w:leftChars="200"/>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b w:val="0"/>
          <w:bCs w:val="0"/>
          <w:color w:val="auto"/>
          <w:sz w:val="30"/>
          <w:szCs w:val="30"/>
          <w:lang w:val="en-US" w:eastAsia="zh-CN"/>
        </w:rPr>
        <w:t>（3）项目实施情况分析</w:t>
      </w:r>
    </w:p>
    <w:p>
      <w:pPr>
        <w:pStyle w:val="16"/>
        <w:spacing w:line="360" w:lineRule="auto"/>
        <w:ind w:firstLine="6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2021年森林资源管理“一张图”年度更新工作自2021年3月启动，至2021年11月结束，历时9个月</w:t>
      </w:r>
      <w:r>
        <w:rPr>
          <w:rFonts w:hint="default" w:ascii="Times New Roman" w:hAnsi="Times New Roman" w:eastAsia="仿宋" w:cs="Times New Roman"/>
          <w:color w:val="auto"/>
          <w:sz w:val="30"/>
          <w:szCs w:val="30"/>
          <w:lang w:eastAsia="zh-CN"/>
        </w:rPr>
        <w:t>。本单位</w:t>
      </w:r>
      <w:r>
        <w:rPr>
          <w:rFonts w:hint="default" w:ascii="Times New Roman" w:hAnsi="Times New Roman" w:eastAsia="仿宋" w:cs="Times New Roman"/>
          <w:color w:val="auto"/>
          <w:sz w:val="30"/>
          <w:szCs w:val="30"/>
        </w:rPr>
        <w:t>接受任务后，成立了项目组，明确了项目负责人，先后参加本项工作的技术人员有64人。根据工作内容大致可分为方案编制阶段、工作部署和培训阶段、现地验证和资源更新阶段、检查验收阶段、汇总分析阶段等。制定实施方案、操作细则。公益林数据库和国土三调数据库数据融合</w:t>
      </w:r>
      <w:r>
        <w:rPr>
          <w:rFonts w:hint="default" w:ascii="Times New Roman" w:hAnsi="Times New Roman" w:eastAsia="仿宋" w:cs="Times New Roman"/>
          <w:color w:val="auto"/>
          <w:sz w:val="30"/>
          <w:szCs w:val="30"/>
          <w:lang w:eastAsia="zh-CN"/>
        </w:rPr>
        <w:t>项目制作了</w:t>
      </w:r>
      <w:r>
        <w:rPr>
          <w:rFonts w:hint="default" w:ascii="Times New Roman" w:hAnsi="Times New Roman" w:eastAsia="仿宋" w:cs="Times New Roman"/>
          <w:color w:val="auto"/>
          <w:sz w:val="30"/>
          <w:szCs w:val="30"/>
        </w:rPr>
        <w:t>工作底图，完成全省122个县市区森林资源管理“一张图”（含公益林数据库）和第三次国土调查成果数据初步融合工作</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召开公益林数据库和国土三调数据库数据融合培训会</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完成</w:t>
      </w:r>
      <w:r>
        <w:rPr>
          <w:rFonts w:hint="default" w:ascii="Times New Roman" w:hAnsi="Times New Roman" w:eastAsia="仿宋" w:cs="Times New Roman"/>
          <w:color w:val="auto"/>
          <w:sz w:val="30"/>
          <w:szCs w:val="30"/>
          <w:lang w:eastAsia="zh-CN"/>
        </w:rPr>
        <w:t>了</w:t>
      </w:r>
      <w:r>
        <w:rPr>
          <w:rFonts w:hint="default" w:ascii="Times New Roman" w:hAnsi="Times New Roman" w:eastAsia="仿宋" w:cs="Times New Roman"/>
          <w:color w:val="auto"/>
          <w:sz w:val="30"/>
          <w:szCs w:val="30"/>
        </w:rPr>
        <w:t>公益林优化、数据融合工作技术指导，进度督促，完成</w:t>
      </w:r>
      <w:r>
        <w:rPr>
          <w:rFonts w:hint="default" w:ascii="Times New Roman" w:hAnsi="Times New Roman" w:eastAsia="仿宋" w:cs="Times New Roman"/>
          <w:color w:val="auto"/>
          <w:sz w:val="30"/>
          <w:szCs w:val="30"/>
          <w:lang w:eastAsia="zh-CN"/>
        </w:rPr>
        <w:t>了</w:t>
      </w:r>
      <w:r>
        <w:rPr>
          <w:rFonts w:hint="default" w:ascii="Times New Roman" w:hAnsi="Times New Roman" w:eastAsia="仿宋" w:cs="Times New Roman"/>
          <w:color w:val="auto"/>
          <w:sz w:val="30"/>
          <w:szCs w:val="30"/>
        </w:rPr>
        <w:t>省级以上公益林优化核查和数据融合成果数据质量检查等相关工作</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完成</w:t>
      </w:r>
      <w:r>
        <w:rPr>
          <w:rFonts w:hint="default" w:ascii="Times New Roman" w:hAnsi="Times New Roman" w:eastAsia="仿宋" w:cs="Times New Roman"/>
          <w:color w:val="auto"/>
          <w:sz w:val="30"/>
          <w:szCs w:val="30"/>
          <w:lang w:eastAsia="zh-CN"/>
        </w:rPr>
        <w:t>了</w:t>
      </w:r>
      <w:r>
        <w:rPr>
          <w:rFonts w:hint="default" w:ascii="Times New Roman" w:hAnsi="Times New Roman" w:eastAsia="仿宋" w:cs="Times New Roman"/>
          <w:color w:val="auto"/>
          <w:sz w:val="30"/>
          <w:szCs w:val="30"/>
        </w:rPr>
        <w:t>公益林数据库和国土三调数据库数据融合工作。</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50" w:firstLineChars="150"/>
        <w:jc w:val="left"/>
        <w:textAlignment w:val="auto"/>
        <w:rPr>
          <w:rFonts w:hint="default" w:ascii="Times New Roman" w:hAnsi="Times New Roman" w:eastAsia="仿宋" w:cs="Times New Roman"/>
          <w:b w:val="0"/>
          <w:bCs w:val="0"/>
          <w:color w:val="auto"/>
          <w:sz w:val="30"/>
          <w:szCs w:val="30"/>
          <w:lang w:val="en-US" w:eastAsia="zh-CN"/>
        </w:rPr>
      </w:pPr>
      <w:r>
        <w:rPr>
          <w:rFonts w:hint="default" w:ascii="Times New Roman" w:hAnsi="Times New Roman" w:eastAsia="仿宋" w:cs="Times New Roman"/>
          <w:b w:val="0"/>
          <w:bCs w:val="0"/>
          <w:color w:val="auto"/>
          <w:sz w:val="30"/>
          <w:szCs w:val="30"/>
          <w:lang w:val="en-US" w:eastAsia="zh-CN"/>
        </w:rPr>
        <w:t>（4）项目绩效情况分析</w:t>
      </w:r>
    </w:p>
    <w:p>
      <w:pPr>
        <w:pStyle w:val="16"/>
        <w:spacing w:line="360" w:lineRule="auto"/>
        <w:ind w:firstLine="600"/>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fldChar w:fldCharType="begin"/>
      </w:r>
      <w:r>
        <w:rPr>
          <w:rFonts w:hint="default" w:ascii="Times New Roman" w:hAnsi="Times New Roman" w:eastAsia="仿宋" w:cs="Times New Roman"/>
          <w:color w:val="auto"/>
          <w:sz w:val="30"/>
          <w:szCs w:val="30"/>
          <w:lang w:val="en-US" w:eastAsia="zh-CN"/>
        </w:rPr>
        <w:instrText xml:space="preserve"> = 1 \* GB3 \* MERGEFORMAT </w:instrText>
      </w:r>
      <w:r>
        <w:rPr>
          <w:rFonts w:hint="default" w:ascii="Times New Roman" w:hAnsi="Times New Roman" w:eastAsia="仿宋" w:cs="Times New Roman"/>
          <w:color w:val="auto"/>
          <w:sz w:val="30"/>
          <w:szCs w:val="30"/>
          <w:lang w:val="en-US" w:eastAsia="zh-CN"/>
        </w:rPr>
        <w:fldChar w:fldCharType="separate"/>
      </w:r>
      <w:r>
        <w:rPr>
          <w:rFonts w:hint="default" w:ascii="Times New Roman" w:hAnsi="Times New Roman" w:eastAsia="仿宋" w:cs="Times New Roman"/>
          <w:color w:val="auto"/>
          <w:sz w:val="30"/>
          <w:szCs w:val="30"/>
          <w:lang w:val="en-US" w:eastAsia="zh-CN"/>
        </w:rPr>
        <w:t>①</w:t>
      </w:r>
      <w:r>
        <w:rPr>
          <w:rFonts w:hint="default" w:ascii="Times New Roman" w:hAnsi="Times New Roman" w:eastAsia="仿宋" w:cs="Times New Roman"/>
          <w:color w:val="auto"/>
          <w:sz w:val="30"/>
          <w:szCs w:val="30"/>
          <w:lang w:val="en-US" w:eastAsia="zh-CN"/>
        </w:rPr>
        <w:fldChar w:fldCharType="end"/>
      </w:r>
      <w:r>
        <w:rPr>
          <w:rFonts w:hint="default" w:ascii="Times New Roman" w:hAnsi="Times New Roman" w:eastAsia="仿宋" w:cs="Times New Roman"/>
          <w:color w:val="auto"/>
          <w:sz w:val="30"/>
          <w:szCs w:val="30"/>
          <w:lang w:val="en-US" w:eastAsia="zh-CN"/>
        </w:rPr>
        <w:t>经济效益：整合更新各类林业信息数据，减少森林资源管理成本。</w:t>
      </w:r>
    </w:p>
    <w:p>
      <w:pPr>
        <w:pStyle w:val="16"/>
        <w:spacing w:line="360" w:lineRule="auto"/>
        <w:ind w:firstLine="600"/>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fldChar w:fldCharType="begin"/>
      </w:r>
      <w:r>
        <w:rPr>
          <w:rFonts w:hint="default" w:ascii="Times New Roman" w:hAnsi="Times New Roman" w:eastAsia="仿宋" w:cs="Times New Roman"/>
          <w:color w:val="auto"/>
          <w:sz w:val="30"/>
          <w:szCs w:val="30"/>
          <w:lang w:val="en-US" w:eastAsia="zh-CN"/>
        </w:rPr>
        <w:instrText xml:space="preserve"> = 2 \* GB3 \* MERGEFORMAT </w:instrText>
      </w:r>
      <w:r>
        <w:rPr>
          <w:rFonts w:hint="default" w:ascii="Times New Roman" w:hAnsi="Times New Roman" w:eastAsia="仿宋" w:cs="Times New Roman"/>
          <w:color w:val="auto"/>
          <w:sz w:val="30"/>
          <w:szCs w:val="30"/>
          <w:lang w:val="en-US" w:eastAsia="zh-CN"/>
        </w:rPr>
        <w:fldChar w:fldCharType="separate"/>
      </w:r>
      <w:r>
        <w:rPr>
          <w:rFonts w:hint="default" w:ascii="Times New Roman" w:hAnsi="Times New Roman" w:eastAsia="仿宋" w:cs="Times New Roman"/>
          <w:color w:val="auto"/>
          <w:sz w:val="30"/>
          <w:szCs w:val="30"/>
        </w:rPr>
        <w:t>②</w:t>
      </w:r>
      <w:r>
        <w:rPr>
          <w:rFonts w:hint="default" w:ascii="Times New Roman" w:hAnsi="Times New Roman" w:eastAsia="仿宋" w:cs="Times New Roman"/>
          <w:color w:val="auto"/>
          <w:sz w:val="30"/>
          <w:szCs w:val="30"/>
          <w:lang w:val="en-US" w:eastAsia="zh-CN"/>
        </w:rPr>
        <w:fldChar w:fldCharType="end"/>
      </w:r>
      <w:r>
        <w:rPr>
          <w:rFonts w:hint="default" w:ascii="Times New Roman" w:hAnsi="Times New Roman" w:eastAsia="仿宋" w:cs="Times New Roman"/>
          <w:color w:val="auto"/>
          <w:sz w:val="30"/>
          <w:szCs w:val="30"/>
          <w:lang w:val="en-US" w:eastAsia="zh-CN"/>
        </w:rPr>
        <w:t>社会效益：增强了森林资源监督管理，统一了全省林业和国土三调的底图底数，为后续森林资源管理提供了基础数据。</w:t>
      </w:r>
    </w:p>
    <w:p>
      <w:pPr>
        <w:pStyle w:val="16"/>
        <w:spacing w:line="360" w:lineRule="auto"/>
        <w:ind w:firstLine="600"/>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fldChar w:fldCharType="begin"/>
      </w:r>
      <w:r>
        <w:rPr>
          <w:rFonts w:hint="default" w:ascii="Times New Roman" w:hAnsi="Times New Roman" w:eastAsia="仿宋" w:cs="Times New Roman"/>
          <w:color w:val="auto"/>
          <w:sz w:val="30"/>
          <w:szCs w:val="30"/>
          <w:lang w:val="en-US" w:eastAsia="zh-CN"/>
        </w:rPr>
        <w:instrText xml:space="preserve"> = 3 \* GB3 \* MERGEFORMAT </w:instrText>
      </w:r>
      <w:r>
        <w:rPr>
          <w:rFonts w:hint="default" w:ascii="Times New Roman" w:hAnsi="Times New Roman" w:eastAsia="仿宋" w:cs="Times New Roman"/>
          <w:color w:val="auto"/>
          <w:sz w:val="30"/>
          <w:szCs w:val="30"/>
          <w:lang w:val="en-US" w:eastAsia="zh-CN"/>
        </w:rPr>
        <w:fldChar w:fldCharType="separate"/>
      </w:r>
      <w:r>
        <w:rPr>
          <w:rFonts w:hint="default" w:ascii="Times New Roman" w:hAnsi="Times New Roman" w:eastAsia="仿宋" w:cs="Times New Roman"/>
          <w:color w:val="auto"/>
          <w:sz w:val="30"/>
          <w:szCs w:val="30"/>
        </w:rPr>
        <w:t>③</w:t>
      </w:r>
      <w:r>
        <w:rPr>
          <w:rFonts w:hint="default" w:ascii="Times New Roman" w:hAnsi="Times New Roman" w:eastAsia="仿宋" w:cs="Times New Roman"/>
          <w:color w:val="auto"/>
          <w:sz w:val="30"/>
          <w:szCs w:val="30"/>
          <w:lang w:val="en-US" w:eastAsia="zh-CN"/>
        </w:rPr>
        <w:fldChar w:fldCharType="end"/>
      </w:r>
      <w:r>
        <w:rPr>
          <w:rFonts w:hint="default" w:ascii="Times New Roman" w:hAnsi="Times New Roman" w:eastAsia="仿宋" w:cs="Times New Roman"/>
          <w:color w:val="auto"/>
          <w:sz w:val="30"/>
          <w:szCs w:val="30"/>
          <w:lang w:val="en-US" w:eastAsia="zh-CN"/>
        </w:rPr>
        <w:t>生态效益：保障了森林生态安全，为湖南省森林资源提供了基础数据支撑。为后续森林资源管理提供了便利，促进了森林资源可持续发展。</w:t>
      </w:r>
    </w:p>
    <w:p>
      <w:pPr>
        <w:pStyle w:val="16"/>
        <w:spacing w:line="360" w:lineRule="auto"/>
        <w:ind w:firstLine="600"/>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fldChar w:fldCharType="begin"/>
      </w:r>
      <w:r>
        <w:rPr>
          <w:rFonts w:hint="default" w:ascii="Times New Roman" w:hAnsi="Times New Roman" w:eastAsia="仿宋" w:cs="Times New Roman"/>
          <w:color w:val="auto"/>
          <w:sz w:val="30"/>
          <w:szCs w:val="30"/>
          <w:lang w:val="en-US" w:eastAsia="zh-CN"/>
        </w:rPr>
        <w:instrText xml:space="preserve"> = 4 \* GB3 \* MERGEFORMAT </w:instrText>
      </w:r>
      <w:r>
        <w:rPr>
          <w:rFonts w:hint="default" w:ascii="Times New Roman" w:hAnsi="Times New Roman" w:eastAsia="仿宋" w:cs="Times New Roman"/>
          <w:color w:val="auto"/>
          <w:sz w:val="30"/>
          <w:szCs w:val="30"/>
          <w:lang w:val="en-US" w:eastAsia="zh-CN"/>
        </w:rPr>
        <w:fldChar w:fldCharType="separate"/>
      </w:r>
      <w:r>
        <w:rPr>
          <w:rFonts w:hint="default" w:ascii="Times New Roman" w:hAnsi="Times New Roman" w:eastAsia="仿宋" w:cs="Times New Roman"/>
          <w:color w:val="auto"/>
          <w:sz w:val="30"/>
          <w:szCs w:val="30"/>
        </w:rPr>
        <w:t>④</w:t>
      </w:r>
      <w:r>
        <w:rPr>
          <w:rFonts w:hint="default" w:ascii="Times New Roman" w:hAnsi="Times New Roman" w:eastAsia="仿宋" w:cs="Times New Roman"/>
          <w:color w:val="auto"/>
          <w:sz w:val="30"/>
          <w:szCs w:val="30"/>
          <w:lang w:val="en-US" w:eastAsia="zh-CN"/>
        </w:rPr>
        <w:fldChar w:fldCharType="end"/>
      </w:r>
      <w:r>
        <w:rPr>
          <w:rFonts w:hint="default" w:ascii="Times New Roman" w:hAnsi="Times New Roman" w:eastAsia="仿宋" w:cs="Times New Roman"/>
          <w:color w:val="auto"/>
          <w:sz w:val="30"/>
          <w:szCs w:val="30"/>
          <w:lang w:val="en-US" w:eastAsia="zh-CN"/>
        </w:rPr>
        <w:t>满意度指标：政府满意度100%</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00" w:firstLineChars="100"/>
        <w:textAlignment w:val="auto"/>
        <w:rPr>
          <w:rFonts w:hint="default" w:ascii="Times New Roman" w:hAnsi="Times New Roman" w:eastAsia="仿宋" w:cs="Times New Roman"/>
          <w:b w:val="0"/>
          <w:bCs w:val="0"/>
          <w:color w:val="auto"/>
          <w:sz w:val="30"/>
          <w:szCs w:val="30"/>
          <w:lang w:val="en-US" w:eastAsia="zh-CN"/>
        </w:rPr>
      </w:pPr>
      <w:r>
        <w:rPr>
          <w:rFonts w:hint="default" w:ascii="Times New Roman" w:hAnsi="Times New Roman" w:eastAsia="仿宋" w:cs="Times New Roman"/>
          <w:b w:val="0"/>
          <w:bCs w:val="0"/>
          <w:color w:val="auto"/>
          <w:sz w:val="30"/>
          <w:szCs w:val="30"/>
          <w:lang w:val="en-US" w:eastAsia="zh-CN"/>
        </w:rPr>
        <w:t>（5）自评打分：100分</w:t>
      </w:r>
    </w:p>
    <w:p>
      <w:pPr>
        <w:keepNext w:val="0"/>
        <w:keepLines w:val="0"/>
        <w:pageBreakBefore w:val="0"/>
        <w:widowControl w:val="0"/>
        <w:numPr>
          <w:ilvl w:val="0"/>
          <w:numId w:val="0"/>
        </w:numPr>
        <w:kinsoku/>
        <w:wordWrap/>
        <w:overflowPunct/>
        <w:topLinePunct w:val="0"/>
        <w:autoSpaceDE/>
        <w:autoSpaceDN/>
        <w:bidi w:val="0"/>
        <w:adjustRightInd/>
        <w:snapToGrid/>
        <w:ind w:leftChars="100" w:firstLine="600" w:firstLineChars="200"/>
        <w:jc w:val="left"/>
        <w:textAlignment w:val="auto"/>
        <w:rPr>
          <w:rFonts w:hint="default" w:ascii="Times New Roman" w:hAnsi="Times New Roman" w:eastAsia="仿宋" w:cs="Times New Roman"/>
          <w:b/>
          <w:bCs/>
          <w:color w:val="auto"/>
          <w:sz w:val="30"/>
          <w:szCs w:val="30"/>
          <w:lang w:val="en-US" w:eastAsia="zh-CN"/>
        </w:rPr>
      </w:pPr>
      <w:r>
        <w:rPr>
          <w:rFonts w:hint="default" w:ascii="Times New Roman" w:hAnsi="Times New Roman" w:eastAsia="仿宋" w:cs="Times New Roman"/>
          <w:b/>
          <w:bCs/>
          <w:color w:val="auto"/>
          <w:sz w:val="30"/>
          <w:szCs w:val="30"/>
          <w:lang w:val="en-US" w:eastAsia="zh-CN"/>
        </w:rPr>
        <w:t>2、森林城市建设资金专项（湖南省森林城市评价指标及测评体系修订、指标监测）</w:t>
      </w:r>
    </w:p>
    <w:p>
      <w:pPr>
        <w:pStyle w:val="2"/>
        <w:numPr>
          <w:ilvl w:val="0"/>
          <w:numId w:val="0"/>
        </w:numPr>
        <w:ind w:left="660" w:leftChars="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b w:val="0"/>
          <w:bCs w:val="0"/>
          <w:color w:val="auto"/>
          <w:sz w:val="30"/>
          <w:szCs w:val="30"/>
          <w:lang w:val="en-US" w:eastAsia="zh-CN"/>
        </w:rPr>
        <w:t>(1)</w:t>
      </w:r>
      <w:r>
        <w:rPr>
          <w:rFonts w:hint="default" w:ascii="Times New Roman" w:hAnsi="Times New Roman" w:eastAsia="仿宋" w:cs="Times New Roman"/>
          <w:color w:val="auto"/>
          <w:kern w:val="2"/>
          <w:sz w:val="30"/>
          <w:szCs w:val="30"/>
          <w:lang w:val="en-US" w:eastAsia="zh-CN" w:bidi="ar-SA"/>
        </w:rPr>
        <w:t>绩效目标</w:t>
      </w:r>
    </w:p>
    <w:p>
      <w:pPr>
        <w:pStyle w:val="2"/>
        <w:numPr>
          <w:ilvl w:val="0"/>
          <w:numId w:val="0"/>
        </w:numPr>
        <w:ind w:left="298" w:leftChars="142" w:firstLine="600" w:firstLineChars="200"/>
        <w:jc w:val="both"/>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开展资料收集、调研，对湖南省地方标准《森林城市评价指标(DB43T 1315-2017)》开展修订工作，编制完成修订稿及修订编制说明等成果材料。</w:t>
      </w:r>
    </w:p>
    <w:p>
      <w:pPr>
        <w:pStyle w:val="2"/>
        <w:numPr>
          <w:ilvl w:val="0"/>
          <w:numId w:val="0"/>
        </w:numPr>
        <w:ind w:left="660" w:leftChars="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b w:val="0"/>
          <w:bCs w:val="0"/>
          <w:color w:val="auto"/>
          <w:sz w:val="30"/>
          <w:szCs w:val="30"/>
          <w:lang w:val="en-US" w:eastAsia="zh-CN"/>
        </w:rPr>
        <w:t>（2）专项资金使用情况及管理情况</w:t>
      </w:r>
    </w:p>
    <w:p>
      <w:pPr>
        <w:numPr>
          <w:ilvl w:val="0"/>
          <w:numId w:val="0"/>
        </w:numPr>
        <w:ind w:leftChars="100" w:firstLine="600" w:firstLineChars="200"/>
        <w:jc w:val="left"/>
        <w:rPr>
          <w:rFonts w:hint="default" w:ascii="Times New Roman" w:hAnsi="Times New Roman" w:eastAsia="仿宋" w:cs="Times New Roman"/>
          <w:b w:val="0"/>
          <w:bCs w:val="0"/>
          <w:color w:val="auto"/>
          <w:sz w:val="30"/>
          <w:szCs w:val="30"/>
          <w:lang w:val="en-US" w:eastAsia="zh-CN"/>
        </w:rPr>
      </w:pPr>
      <w:r>
        <w:rPr>
          <w:rFonts w:hint="default" w:ascii="Times New Roman" w:hAnsi="Times New Roman" w:eastAsia="仿宋" w:cs="Times New Roman"/>
          <w:b w:val="0"/>
          <w:bCs w:val="0"/>
          <w:color w:val="auto"/>
          <w:sz w:val="30"/>
          <w:szCs w:val="30"/>
          <w:lang w:val="en-US" w:eastAsia="zh-CN"/>
        </w:rPr>
        <w:t>本项目财政资金共计54万元，实际支付54.26万元。资金来源于2021年第二批省级林业生态保护修复及发展资金（湘财资环指〔2021〕9号），主要用于修订湖南省地方标准《森林城市评价指标(DB43T 1315-2017)》，项目纳入我院资金使用年度预算，实行单独核算、专人负责、专款专用，包括工作开展过程中发生的资料印刷、外业调研旅费、聘请劳务人员协助工作开展等。</w:t>
      </w:r>
    </w:p>
    <w:p>
      <w:pPr>
        <w:pStyle w:val="2"/>
        <w:numPr>
          <w:ilvl w:val="0"/>
          <w:numId w:val="0"/>
        </w:numPr>
        <w:ind w:left="660" w:leftChars="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b w:val="0"/>
          <w:bCs w:val="0"/>
          <w:color w:val="auto"/>
          <w:sz w:val="30"/>
          <w:szCs w:val="30"/>
          <w:lang w:val="en-US" w:eastAsia="zh-CN"/>
        </w:rPr>
        <w:t>（3）项目实施情况分析</w:t>
      </w:r>
    </w:p>
    <w:p>
      <w:pPr>
        <w:numPr>
          <w:ilvl w:val="0"/>
          <w:numId w:val="0"/>
        </w:numPr>
        <w:ind w:leftChars="100" w:firstLine="600" w:firstLineChars="200"/>
        <w:jc w:val="left"/>
        <w:rPr>
          <w:rFonts w:hint="default" w:ascii="Times New Roman" w:hAnsi="Times New Roman" w:eastAsia="仿宋" w:cs="Times New Roman"/>
          <w:b w:val="0"/>
          <w:bCs w:val="0"/>
          <w:color w:val="auto"/>
          <w:sz w:val="30"/>
          <w:szCs w:val="30"/>
          <w:lang w:val="en-US" w:eastAsia="zh-CN"/>
        </w:rPr>
      </w:pPr>
      <w:r>
        <w:rPr>
          <w:rFonts w:hint="default" w:ascii="Times New Roman" w:hAnsi="Times New Roman" w:eastAsia="仿宋" w:cs="Times New Roman"/>
          <w:b w:val="0"/>
          <w:bCs w:val="0"/>
          <w:color w:val="auto"/>
          <w:sz w:val="30"/>
          <w:szCs w:val="30"/>
          <w:lang w:val="en-US" w:eastAsia="zh-CN"/>
        </w:rPr>
        <w:t>我院森林资源与生态环境监测中心和规景分院两个部门（项目具体承担部门）在承接该项目后，根据项目管理制度及工作程序，成立了专门的项目工作组。随后，项目负责人积极组织项目组成员确定了项目实施安排计划，明确专人负责森林城市评价指标制修订工作的专项内容，并及时编制了项目实施工作方案。</w:t>
      </w:r>
    </w:p>
    <w:p>
      <w:pPr>
        <w:numPr>
          <w:ilvl w:val="0"/>
          <w:numId w:val="0"/>
        </w:numPr>
        <w:ind w:leftChars="100" w:firstLine="600" w:firstLineChars="200"/>
        <w:jc w:val="left"/>
        <w:rPr>
          <w:rFonts w:hint="default" w:ascii="Times New Roman" w:hAnsi="Times New Roman" w:eastAsia="仿宋" w:cs="Times New Roman"/>
          <w:b w:val="0"/>
          <w:bCs w:val="0"/>
          <w:color w:val="auto"/>
          <w:sz w:val="30"/>
          <w:szCs w:val="30"/>
          <w:lang w:val="en-US" w:eastAsia="zh-CN"/>
        </w:rPr>
      </w:pPr>
      <w:r>
        <w:rPr>
          <w:rFonts w:hint="default" w:ascii="Times New Roman" w:hAnsi="Times New Roman" w:eastAsia="仿宋" w:cs="Times New Roman"/>
          <w:b w:val="0"/>
          <w:bCs w:val="0"/>
          <w:color w:val="auto"/>
          <w:sz w:val="30"/>
          <w:szCs w:val="30"/>
          <w:lang w:val="en-US" w:eastAsia="zh-CN"/>
        </w:rPr>
        <w:t>按照工作方案，项目组成员等就制修订工作展开了具体的资料收集与数据处理分析等工作，首先编制了项目制修订大纲（草案）提交项目组成员及有关专业副总工程师讨论、审查，修改完善后，召集项目组成员等开展市县实地调查调研、资料收集整理与分析工作，进一步调查、收集市县政府、有关部门或城乡居民对森林城市建设的意见建议，以及森林城市创建工作过程中面临的问题或亟需解决的困难等。</w:t>
      </w:r>
    </w:p>
    <w:p>
      <w:pPr>
        <w:numPr>
          <w:ilvl w:val="0"/>
          <w:numId w:val="0"/>
        </w:numPr>
        <w:ind w:leftChars="100" w:firstLine="600" w:firstLineChars="200"/>
        <w:jc w:val="left"/>
        <w:rPr>
          <w:rFonts w:hint="default" w:ascii="Times New Roman" w:hAnsi="Times New Roman" w:eastAsia="仿宋" w:cs="Times New Roman"/>
          <w:b w:val="0"/>
          <w:bCs w:val="0"/>
          <w:color w:val="auto"/>
          <w:sz w:val="30"/>
          <w:szCs w:val="30"/>
          <w:lang w:val="en-US" w:eastAsia="zh-CN"/>
        </w:rPr>
      </w:pPr>
      <w:r>
        <w:rPr>
          <w:rFonts w:hint="default" w:ascii="Times New Roman" w:hAnsi="Times New Roman" w:eastAsia="仿宋" w:cs="Times New Roman"/>
          <w:b w:val="0"/>
          <w:bCs w:val="0"/>
          <w:color w:val="auto"/>
          <w:sz w:val="30"/>
          <w:szCs w:val="30"/>
          <w:lang w:val="en-US" w:eastAsia="zh-CN"/>
        </w:rPr>
        <w:t>及时分析整理实地调研资料，结合项目制修订大纲（草案）、实地调研成果及综合国家森林城市评价指标要点、原森林城市评价指标体系内容等，编制切合湖南省实际的森林城市评价指标体系，并对每类考核评价体系、每项具体评价指标进行简明阐述，对原有森林城市评价指标体系中没有涉及的新指标，或有修改完善的指标进行专项说明，最终形成了湖南省地方标准《森林城市评价指标》、湖南省地方标准《森林城市评价指标》修订编制说明。</w:t>
      </w:r>
    </w:p>
    <w:p>
      <w:pPr>
        <w:numPr>
          <w:ilvl w:val="0"/>
          <w:numId w:val="0"/>
        </w:numPr>
        <w:ind w:leftChars="100" w:firstLine="600" w:firstLineChars="200"/>
        <w:jc w:val="left"/>
        <w:rPr>
          <w:rFonts w:hint="default" w:ascii="Times New Roman" w:hAnsi="Times New Roman" w:eastAsia="仿宋" w:cs="Times New Roman"/>
          <w:b w:val="0"/>
          <w:bCs w:val="0"/>
          <w:color w:val="auto"/>
          <w:sz w:val="30"/>
          <w:szCs w:val="30"/>
          <w:lang w:val="en-US" w:eastAsia="zh-CN"/>
        </w:rPr>
      </w:pPr>
      <w:r>
        <w:rPr>
          <w:rFonts w:hint="default" w:ascii="Times New Roman" w:hAnsi="Times New Roman" w:eastAsia="仿宋" w:cs="Times New Roman"/>
          <w:b w:val="0"/>
          <w:bCs w:val="0"/>
          <w:color w:val="auto"/>
          <w:sz w:val="30"/>
          <w:szCs w:val="30"/>
          <w:lang w:val="en-US" w:eastAsia="zh-CN"/>
        </w:rPr>
        <w:t>组织项目组成员及我院内相关专业主任工程师、专业副总工程师等对2项初步成果展开讨论或提出修改完善的意见建议，根据意见建议进一步修改完善初步成果形成成果稿。</w:t>
      </w:r>
    </w:p>
    <w:p>
      <w:pPr>
        <w:pStyle w:val="2"/>
        <w:numPr>
          <w:ilvl w:val="0"/>
          <w:numId w:val="0"/>
        </w:numPr>
        <w:ind w:firstLine="300" w:firstLineChars="100"/>
        <w:rPr>
          <w:rFonts w:hint="default" w:ascii="Times New Roman" w:hAnsi="Times New Roman" w:eastAsia="仿宋" w:cs="Times New Roman"/>
          <w:b w:val="0"/>
          <w:bCs w:val="0"/>
          <w:color w:val="auto"/>
          <w:kern w:val="2"/>
          <w:sz w:val="30"/>
          <w:szCs w:val="30"/>
          <w:lang w:val="en-US" w:eastAsia="zh-CN" w:bidi="ar-SA"/>
        </w:rPr>
      </w:pPr>
      <w:r>
        <w:rPr>
          <w:rFonts w:hint="default" w:ascii="Times New Roman" w:hAnsi="Times New Roman" w:eastAsia="仿宋" w:cs="Times New Roman"/>
          <w:b w:val="0"/>
          <w:bCs w:val="0"/>
          <w:color w:val="auto"/>
          <w:kern w:val="2"/>
          <w:sz w:val="30"/>
          <w:szCs w:val="30"/>
          <w:lang w:val="en-US" w:eastAsia="zh-CN" w:bidi="ar-SA"/>
        </w:rPr>
        <w:t>（4）项目绩效情况分析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imes New Roman" w:hAnsi="Times New Roman" w:eastAsia="仿宋" w:cs="Times New Roman"/>
          <w:b w:val="0"/>
          <w:bCs w:val="0"/>
          <w:color w:val="auto"/>
          <w:sz w:val="30"/>
          <w:szCs w:val="30"/>
          <w:lang w:val="en-US" w:eastAsia="zh-CN"/>
        </w:rPr>
      </w:pPr>
      <w:r>
        <w:rPr>
          <w:rFonts w:hint="default" w:ascii="Times New Roman" w:hAnsi="Times New Roman" w:eastAsia="仿宋" w:cs="Times New Roman"/>
          <w:b w:val="0"/>
          <w:bCs w:val="0"/>
          <w:color w:val="auto"/>
          <w:sz w:val="30"/>
          <w:szCs w:val="30"/>
          <w:lang w:val="en-US" w:eastAsia="zh-CN"/>
        </w:rPr>
        <w:fldChar w:fldCharType="begin"/>
      </w:r>
      <w:r>
        <w:rPr>
          <w:rFonts w:hint="default" w:ascii="Times New Roman" w:hAnsi="Times New Roman" w:eastAsia="仿宋" w:cs="Times New Roman"/>
          <w:b w:val="0"/>
          <w:bCs w:val="0"/>
          <w:color w:val="auto"/>
          <w:sz w:val="30"/>
          <w:szCs w:val="30"/>
          <w:lang w:val="en-US" w:eastAsia="zh-CN"/>
        </w:rPr>
        <w:instrText xml:space="preserve"> = 1 \* GB3 \* MERGEFORMAT </w:instrText>
      </w:r>
      <w:r>
        <w:rPr>
          <w:rFonts w:hint="default" w:ascii="Times New Roman" w:hAnsi="Times New Roman" w:eastAsia="仿宋" w:cs="Times New Roman"/>
          <w:b w:val="0"/>
          <w:bCs w:val="0"/>
          <w:color w:val="auto"/>
          <w:sz w:val="30"/>
          <w:szCs w:val="30"/>
          <w:lang w:val="en-US" w:eastAsia="zh-CN"/>
        </w:rPr>
        <w:fldChar w:fldCharType="separate"/>
      </w:r>
      <w:r>
        <w:rPr>
          <w:rFonts w:hint="default" w:ascii="Times New Roman" w:hAnsi="Times New Roman" w:eastAsia="仿宋" w:cs="Times New Roman"/>
          <w:b w:val="0"/>
          <w:bCs w:val="0"/>
          <w:color w:val="auto"/>
          <w:sz w:val="30"/>
          <w:szCs w:val="30"/>
          <w:lang w:val="en-US" w:eastAsia="zh-CN"/>
        </w:rPr>
        <w:t>①</w:t>
      </w:r>
      <w:r>
        <w:rPr>
          <w:rFonts w:hint="default" w:ascii="Times New Roman" w:hAnsi="Times New Roman" w:eastAsia="仿宋" w:cs="Times New Roman"/>
          <w:b w:val="0"/>
          <w:bCs w:val="0"/>
          <w:color w:val="auto"/>
          <w:sz w:val="30"/>
          <w:szCs w:val="30"/>
          <w:lang w:val="en-US" w:eastAsia="zh-CN"/>
        </w:rPr>
        <w:fldChar w:fldCharType="end"/>
      </w:r>
      <w:r>
        <w:rPr>
          <w:rFonts w:hint="default" w:ascii="Times New Roman" w:hAnsi="Times New Roman" w:eastAsia="仿宋" w:cs="Times New Roman"/>
          <w:b w:val="0"/>
          <w:bCs w:val="0"/>
          <w:color w:val="auto"/>
          <w:sz w:val="30"/>
          <w:szCs w:val="30"/>
          <w:lang w:val="en-US" w:eastAsia="zh-CN"/>
        </w:rPr>
        <w:t>经济效益：有利于带动当地生态产业发展。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imes New Roman" w:hAnsi="Times New Roman" w:eastAsia="仿宋" w:cs="Times New Roman"/>
          <w:b w:val="0"/>
          <w:bCs w:val="0"/>
          <w:color w:val="auto"/>
          <w:sz w:val="30"/>
          <w:szCs w:val="30"/>
          <w:lang w:val="en-US" w:eastAsia="zh-CN"/>
        </w:rPr>
      </w:pPr>
      <w:r>
        <w:rPr>
          <w:rFonts w:hint="default" w:ascii="Times New Roman" w:hAnsi="Times New Roman" w:eastAsia="仿宋" w:cs="Times New Roman"/>
          <w:b w:val="0"/>
          <w:bCs w:val="0"/>
          <w:color w:val="auto"/>
          <w:sz w:val="30"/>
          <w:szCs w:val="30"/>
          <w:lang w:val="en-US" w:eastAsia="zh-CN"/>
        </w:rPr>
        <w:fldChar w:fldCharType="begin"/>
      </w:r>
      <w:r>
        <w:rPr>
          <w:rFonts w:hint="default" w:ascii="Times New Roman" w:hAnsi="Times New Roman" w:eastAsia="仿宋" w:cs="Times New Roman"/>
          <w:b w:val="0"/>
          <w:bCs w:val="0"/>
          <w:color w:val="auto"/>
          <w:sz w:val="30"/>
          <w:szCs w:val="30"/>
          <w:lang w:val="en-US" w:eastAsia="zh-CN"/>
        </w:rPr>
        <w:instrText xml:space="preserve"> = 2 \* GB3 \* MERGEFORMAT </w:instrText>
      </w:r>
      <w:r>
        <w:rPr>
          <w:rFonts w:hint="default" w:ascii="Times New Roman" w:hAnsi="Times New Roman" w:eastAsia="仿宋" w:cs="Times New Roman"/>
          <w:b w:val="0"/>
          <w:bCs w:val="0"/>
          <w:color w:val="auto"/>
          <w:sz w:val="30"/>
          <w:szCs w:val="30"/>
          <w:lang w:val="en-US" w:eastAsia="zh-CN"/>
        </w:rPr>
        <w:fldChar w:fldCharType="separate"/>
      </w:r>
      <w:r>
        <w:rPr>
          <w:rFonts w:hint="default" w:ascii="Times New Roman" w:hAnsi="Times New Roman" w:eastAsia="仿宋" w:cs="Times New Roman"/>
          <w:b w:val="0"/>
          <w:bCs w:val="0"/>
          <w:color w:val="auto"/>
          <w:sz w:val="30"/>
          <w:szCs w:val="30"/>
          <w:lang w:val="en-US" w:eastAsia="zh-CN"/>
        </w:rPr>
        <w:t>②</w:t>
      </w:r>
      <w:r>
        <w:rPr>
          <w:rFonts w:hint="default" w:ascii="Times New Roman" w:hAnsi="Times New Roman" w:eastAsia="仿宋" w:cs="Times New Roman"/>
          <w:b w:val="0"/>
          <w:bCs w:val="0"/>
          <w:color w:val="auto"/>
          <w:sz w:val="30"/>
          <w:szCs w:val="30"/>
          <w:lang w:val="en-US" w:eastAsia="zh-CN"/>
        </w:rPr>
        <w:fldChar w:fldCharType="end"/>
      </w:r>
      <w:r>
        <w:rPr>
          <w:rFonts w:hint="default" w:ascii="Times New Roman" w:hAnsi="Times New Roman" w:eastAsia="仿宋" w:cs="Times New Roman"/>
          <w:b w:val="0"/>
          <w:bCs w:val="0"/>
          <w:color w:val="auto"/>
          <w:sz w:val="30"/>
          <w:szCs w:val="30"/>
          <w:lang w:val="en-US" w:eastAsia="zh-CN"/>
        </w:rPr>
        <w:t>社会效益:有效指导湖南省森林城市创建工作有序发展、实施。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imes New Roman" w:hAnsi="Times New Roman" w:eastAsia="仿宋" w:cs="Times New Roman"/>
          <w:b w:val="0"/>
          <w:bCs w:val="0"/>
          <w:color w:val="auto"/>
          <w:sz w:val="30"/>
          <w:szCs w:val="30"/>
          <w:lang w:val="en-US" w:eastAsia="zh-CN"/>
        </w:rPr>
      </w:pPr>
      <w:r>
        <w:rPr>
          <w:rFonts w:hint="default" w:ascii="Times New Roman" w:hAnsi="Times New Roman" w:eastAsia="仿宋" w:cs="Times New Roman"/>
          <w:b w:val="0"/>
          <w:bCs w:val="0"/>
          <w:color w:val="auto"/>
          <w:sz w:val="30"/>
          <w:szCs w:val="30"/>
          <w:lang w:val="en-US" w:eastAsia="zh-CN"/>
        </w:rPr>
        <w:fldChar w:fldCharType="begin"/>
      </w:r>
      <w:r>
        <w:rPr>
          <w:rFonts w:hint="default" w:ascii="Times New Roman" w:hAnsi="Times New Roman" w:eastAsia="仿宋" w:cs="Times New Roman"/>
          <w:b w:val="0"/>
          <w:bCs w:val="0"/>
          <w:color w:val="auto"/>
          <w:sz w:val="30"/>
          <w:szCs w:val="30"/>
          <w:lang w:val="en-US" w:eastAsia="zh-CN"/>
        </w:rPr>
        <w:instrText xml:space="preserve"> = 3 \* GB3 \* MERGEFORMAT </w:instrText>
      </w:r>
      <w:r>
        <w:rPr>
          <w:rFonts w:hint="default" w:ascii="Times New Roman" w:hAnsi="Times New Roman" w:eastAsia="仿宋" w:cs="Times New Roman"/>
          <w:b w:val="0"/>
          <w:bCs w:val="0"/>
          <w:color w:val="auto"/>
          <w:sz w:val="30"/>
          <w:szCs w:val="30"/>
          <w:lang w:val="en-US" w:eastAsia="zh-CN"/>
        </w:rPr>
        <w:fldChar w:fldCharType="separate"/>
      </w:r>
      <w:r>
        <w:rPr>
          <w:rFonts w:hint="default" w:ascii="Times New Roman" w:hAnsi="Times New Roman" w:eastAsia="仿宋" w:cs="Times New Roman"/>
          <w:b w:val="0"/>
          <w:bCs w:val="0"/>
          <w:color w:val="auto"/>
          <w:sz w:val="30"/>
          <w:szCs w:val="30"/>
          <w:lang w:val="en-US" w:eastAsia="zh-CN"/>
        </w:rPr>
        <w:t>③</w:t>
      </w:r>
      <w:r>
        <w:rPr>
          <w:rFonts w:hint="default" w:ascii="Times New Roman" w:hAnsi="Times New Roman" w:eastAsia="仿宋" w:cs="Times New Roman"/>
          <w:b w:val="0"/>
          <w:bCs w:val="0"/>
          <w:color w:val="auto"/>
          <w:sz w:val="30"/>
          <w:szCs w:val="30"/>
          <w:lang w:val="en-US" w:eastAsia="zh-CN"/>
        </w:rPr>
        <w:fldChar w:fldCharType="end"/>
      </w:r>
      <w:r>
        <w:rPr>
          <w:rFonts w:hint="default" w:ascii="Times New Roman" w:hAnsi="Times New Roman" w:eastAsia="仿宋" w:cs="Times New Roman"/>
          <w:b w:val="0"/>
          <w:bCs w:val="0"/>
          <w:color w:val="auto"/>
          <w:sz w:val="30"/>
          <w:szCs w:val="30"/>
          <w:lang w:val="en-US" w:eastAsia="zh-CN"/>
        </w:rPr>
        <w:t>生态效益：有助于提高城乡生态环境质量。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imes New Roman" w:hAnsi="Times New Roman" w:eastAsia="仿宋" w:cs="Times New Roman"/>
          <w:b w:val="0"/>
          <w:bCs w:val="0"/>
          <w:color w:val="auto"/>
          <w:sz w:val="30"/>
          <w:szCs w:val="30"/>
          <w:lang w:val="en-US" w:eastAsia="zh-CN"/>
        </w:rPr>
      </w:pPr>
      <w:r>
        <w:rPr>
          <w:rFonts w:hint="default" w:ascii="Times New Roman" w:hAnsi="Times New Roman" w:eastAsia="仿宋" w:cs="Times New Roman"/>
          <w:b w:val="0"/>
          <w:bCs w:val="0"/>
          <w:color w:val="auto"/>
          <w:sz w:val="30"/>
          <w:szCs w:val="30"/>
          <w:lang w:val="en-US" w:eastAsia="zh-CN"/>
        </w:rPr>
        <w:fldChar w:fldCharType="begin"/>
      </w:r>
      <w:r>
        <w:rPr>
          <w:rFonts w:hint="default" w:ascii="Times New Roman" w:hAnsi="Times New Roman" w:eastAsia="仿宋" w:cs="Times New Roman"/>
          <w:b w:val="0"/>
          <w:bCs w:val="0"/>
          <w:color w:val="auto"/>
          <w:sz w:val="30"/>
          <w:szCs w:val="30"/>
          <w:lang w:val="en-US" w:eastAsia="zh-CN"/>
        </w:rPr>
        <w:instrText xml:space="preserve"> = 4 \* GB3 \* MERGEFORMAT </w:instrText>
      </w:r>
      <w:r>
        <w:rPr>
          <w:rFonts w:hint="default" w:ascii="Times New Roman" w:hAnsi="Times New Roman" w:eastAsia="仿宋" w:cs="Times New Roman"/>
          <w:b w:val="0"/>
          <w:bCs w:val="0"/>
          <w:color w:val="auto"/>
          <w:sz w:val="30"/>
          <w:szCs w:val="30"/>
          <w:lang w:val="en-US" w:eastAsia="zh-CN"/>
        </w:rPr>
        <w:fldChar w:fldCharType="separate"/>
      </w:r>
      <w:r>
        <w:rPr>
          <w:rFonts w:hint="default" w:ascii="Times New Roman" w:hAnsi="Times New Roman" w:eastAsia="仿宋" w:cs="Times New Roman"/>
          <w:b w:val="0"/>
          <w:bCs w:val="0"/>
          <w:color w:val="auto"/>
          <w:sz w:val="30"/>
          <w:szCs w:val="30"/>
          <w:lang w:val="en-US" w:eastAsia="zh-CN"/>
        </w:rPr>
        <w:t>④</w:t>
      </w:r>
      <w:r>
        <w:rPr>
          <w:rFonts w:hint="default" w:ascii="Times New Roman" w:hAnsi="Times New Roman" w:eastAsia="仿宋" w:cs="Times New Roman"/>
          <w:b w:val="0"/>
          <w:bCs w:val="0"/>
          <w:color w:val="auto"/>
          <w:sz w:val="30"/>
          <w:szCs w:val="30"/>
          <w:lang w:val="en-US" w:eastAsia="zh-CN"/>
        </w:rPr>
        <w:fldChar w:fldCharType="end"/>
      </w:r>
      <w:r>
        <w:rPr>
          <w:rFonts w:hint="default" w:ascii="Times New Roman" w:hAnsi="Times New Roman" w:eastAsia="仿宋" w:cs="Times New Roman"/>
          <w:b w:val="0"/>
          <w:bCs w:val="0"/>
          <w:color w:val="auto"/>
          <w:sz w:val="30"/>
          <w:szCs w:val="30"/>
          <w:lang w:val="en-US" w:eastAsia="zh-CN"/>
        </w:rPr>
        <w:t>可持续影响：森林城市建设有效促进城市生态可持续发展。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imes New Roman" w:hAnsi="Times New Roman" w:eastAsia="仿宋" w:cs="Times New Roman"/>
          <w:b w:val="0"/>
          <w:bCs w:val="0"/>
          <w:color w:val="auto"/>
          <w:sz w:val="30"/>
          <w:szCs w:val="30"/>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firstLine="300" w:firstLineChars="100"/>
        <w:jc w:val="both"/>
        <w:textAlignment w:val="auto"/>
        <w:rPr>
          <w:rFonts w:hint="default" w:ascii="Times New Roman" w:hAnsi="Times New Roman" w:eastAsia="仿宋" w:cs="Times New Roman"/>
          <w:b w:val="0"/>
          <w:bCs w:val="0"/>
          <w:color w:val="auto"/>
          <w:kern w:val="2"/>
          <w:sz w:val="30"/>
          <w:szCs w:val="30"/>
          <w:lang w:val="en-US" w:eastAsia="zh-CN" w:bidi="ar-SA"/>
        </w:rPr>
      </w:pPr>
      <w:r>
        <w:rPr>
          <w:rFonts w:hint="default" w:ascii="Times New Roman" w:hAnsi="Times New Roman" w:eastAsia="仿宋" w:cs="Times New Roman"/>
          <w:b w:val="0"/>
          <w:bCs w:val="0"/>
          <w:color w:val="auto"/>
          <w:kern w:val="2"/>
          <w:sz w:val="30"/>
          <w:szCs w:val="30"/>
          <w:lang w:val="en-US" w:eastAsia="zh-CN" w:bidi="ar-SA"/>
        </w:rPr>
        <w:t>（5）存在问题</w:t>
      </w:r>
    </w:p>
    <w:p>
      <w:pPr>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该项目组织工作认真有序，资金使用管理和项目管理过程合理合规，按照相关要求与规定，项目组专业人员齐全，涉及生态旅游、森林经理、植物学、调查规划等多个专业，人员年龄阶段分布合理，有利于培养年轻技术力量。经过总结分析，项目实施过程中还存在一些不足，如资金使用方面控制不尽合理，导致总支出与年初预算相比少量超额。</w:t>
      </w:r>
    </w:p>
    <w:p>
      <w:pPr>
        <w:pStyle w:val="2"/>
        <w:numPr>
          <w:ilvl w:val="0"/>
          <w:numId w:val="0"/>
        </w:numPr>
        <w:ind w:firstLine="300" w:firstLineChars="100"/>
        <w:rPr>
          <w:rFonts w:hint="default" w:ascii="Times New Roman" w:hAnsi="Times New Roman" w:eastAsia="仿宋" w:cs="Times New Roman"/>
          <w:b w:val="0"/>
          <w:bCs w:val="0"/>
          <w:color w:val="auto"/>
          <w:kern w:val="2"/>
          <w:sz w:val="30"/>
          <w:szCs w:val="30"/>
          <w:lang w:val="en-US" w:eastAsia="zh-CN" w:bidi="ar-SA"/>
        </w:rPr>
      </w:pPr>
      <w:r>
        <w:rPr>
          <w:rFonts w:hint="default" w:ascii="Times New Roman" w:hAnsi="Times New Roman" w:eastAsia="仿宋" w:cs="Times New Roman"/>
          <w:b w:val="0"/>
          <w:bCs w:val="0"/>
          <w:color w:val="auto"/>
          <w:kern w:val="2"/>
          <w:sz w:val="30"/>
          <w:szCs w:val="30"/>
          <w:lang w:val="en-US" w:eastAsia="zh-CN" w:bidi="ar-SA"/>
        </w:rPr>
        <w:t>（6）自评打分：96分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imes New Roman" w:hAnsi="Times New Roman" w:eastAsia="仿宋" w:cs="Times New Roman"/>
          <w:b/>
          <w:bCs/>
          <w:color w:val="auto"/>
          <w:kern w:val="2"/>
          <w:sz w:val="30"/>
          <w:szCs w:val="30"/>
          <w:lang w:val="en-US" w:eastAsia="zh-CN" w:bidi="ar-SA"/>
        </w:rPr>
      </w:pPr>
      <w:r>
        <w:rPr>
          <w:rFonts w:hint="default" w:ascii="Times New Roman" w:hAnsi="Times New Roman" w:eastAsia="仿宋" w:cs="Times New Roman"/>
          <w:b/>
          <w:bCs/>
          <w:color w:val="auto"/>
          <w:kern w:val="2"/>
          <w:sz w:val="30"/>
          <w:szCs w:val="30"/>
          <w:lang w:val="en-US" w:eastAsia="zh-CN" w:bidi="ar-SA"/>
        </w:rPr>
        <w:t>3、征占林地异地植被恢复、森林管护及重点工作专项（国土绿化试点示范项目实施方案编制）</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（1）绩效目标</w:t>
      </w:r>
    </w:p>
    <w:p>
      <w:pPr>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完成长沙市7个县（市、区）外业调查摸底、任务统计；合理确定各县市区任务规模，按时编制并上报实施方案；评审完成后按要求进行修改完善。</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kern w:val="2"/>
          <w:sz w:val="30"/>
          <w:szCs w:val="30"/>
          <w:lang w:val="en-US" w:eastAsia="zh-CN" w:bidi="ar-SA"/>
        </w:rPr>
        <w:t>（2）专项资金使用情况及管理情况</w:t>
      </w:r>
    </w:p>
    <w:p>
      <w:pPr>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本项目财政拨款50万元，实际使用经费50万元。项目纳入我院资金使用年度预算，实行单独核算、专人负责、专款专用，包括工作开展过程中发生的资料印刷、外业调研旅费、聘请劳务人员协助工作开展等。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（3）项目实施情况分析</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项目为编制实施方案，属于设计咨询类项目，我院有充足的经验。项目组在认真研读了国家财政部和国家林草局相关文件精神的基础上，和省林业局相关处室进行了沟通，制定了工作方案，明确了编制目的、基本原则、建设内容和投资标准，并和长沙市林业局及各相关县市区林业局召开了座谈会。在此基础上，立即着手外业调查工作，进行分析统计汇总，然后编制实施方案。项目建设内容符合《财政部办公厅 国家林草局办公室关于组织申报中央财政支持国土绿化试点示范项目的通知》(财办资环〔2021〕10号)的要求。</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300" w:firstLineChars="1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（4）项目绩效情况分析</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1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①</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经济效益：争取国家投资1亿元以上，带动地方政府投资，带动民营资本投资。</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2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②</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社会效益：提高对国土绿化的认识。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3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③</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生态效益：强化全社会对国土绿化的认识，促进长沙市国土绿化事业的健康发展，为全省国土绿化做出示范。</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4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④</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可持续效益：持续发挥生态作用显著。</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300" w:firstLineChars="100"/>
        <w:jc w:val="left"/>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（5）自评打分：100分</w:t>
      </w:r>
    </w:p>
    <w:p>
      <w:pPr>
        <w:numPr>
          <w:ilvl w:val="0"/>
          <w:numId w:val="0"/>
        </w:numPr>
        <w:ind w:firstLine="600" w:firstLineChars="200"/>
        <w:jc w:val="left"/>
        <w:rPr>
          <w:rFonts w:hint="default" w:ascii="Times New Roman" w:hAnsi="Times New Roman" w:eastAsia="仿宋" w:cs="Times New Roman"/>
          <w:b/>
          <w:bCs/>
          <w:color w:val="auto"/>
          <w:sz w:val="30"/>
          <w:szCs w:val="30"/>
          <w:lang w:val="en-US" w:eastAsia="zh-CN"/>
        </w:rPr>
      </w:pPr>
      <w:r>
        <w:rPr>
          <w:rFonts w:hint="default" w:ascii="Times New Roman" w:hAnsi="Times New Roman" w:eastAsia="仿宋" w:cs="Times New Roman"/>
          <w:b/>
          <w:bCs/>
          <w:color w:val="auto"/>
          <w:kern w:val="2"/>
          <w:sz w:val="30"/>
          <w:szCs w:val="30"/>
          <w:lang w:val="en-US" w:eastAsia="zh-CN" w:bidi="ar-SA"/>
        </w:rPr>
        <w:t>4、林业生态保护修复及发展专项</w:t>
      </w:r>
      <w:r>
        <w:rPr>
          <w:rFonts w:hint="default" w:ascii="Times New Roman" w:hAnsi="Times New Roman" w:eastAsia="仿宋" w:cs="Times New Roman"/>
          <w:b/>
          <w:bCs/>
          <w:color w:val="auto"/>
          <w:sz w:val="30"/>
          <w:szCs w:val="30"/>
          <w:lang w:val="en-US" w:eastAsia="zh-CN"/>
        </w:rPr>
        <w:t>（重点保护陆生野生动物致害补偿研究）</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（1）绩效目标</w:t>
      </w:r>
    </w:p>
    <w:p>
      <w:pPr>
        <w:keepNext w:val="0"/>
        <w:keepLines w:val="0"/>
        <w:pageBreakBefore w:val="0"/>
        <w:widowControl w:val="0"/>
        <w:numPr>
          <w:ilvl w:val="0"/>
          <w:numId w:val="0"/>
        </w:numPr>
        <w:kinsoku/>
        <w:wordWrap/>
        <w:overflowPunct/>
        <w:topLinePunct w:val="0"/>
        <w:autoSpaceDE/>
        <w:autoSpaceDN/>
        <w:bidi w:val="0"/>
        <w:adjustRightInd/>
        <w:snapToGrid/>
        <w:ind w:firstLine="300" w:firstLineChars="1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 xml:space="preserve">  在全省14个市州组织野生动物致害补偿调研14场，每个市</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州1场，摸清我省各市、州近5年国家重点保护物种肇事物种、致害受损程度，受害主体的补偿情况、对补偿处理的诉求，最终的处理结果、补偿过程中遇到的实际问题和处理经验，以及当地社会经济情况等信息；分析我省国家重点保护野生动物致害情况特征，包括主要致害物种分析、分布区域特点分析、致害对象分析、致害方式分析；调研我省野生动物致害典型案例，包括大中型野生动物、小型野生动物、白鹭及候鸟等致害案例；调研我省野生动物致害补偿情况，包括我省野生动物致害补偿制度建设现状、保护工作开展情况、我省野生动物致害补偿工作实施情况等，</w:t>
      </w:r>
    </w:p>
    <w:p>
      <w:pPr>
        <w:pStyle w:val="2"/>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编写了《湖南省国家重点保护陆生野生动物致害补偿研究》。</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（2）专项资金使用及管理情况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本专项财政拨款100万元，实际使用资金102.76万元，具体使用情况如下：技术服务费 36.5 万元；外业调查费 17.62 万元；劳务费 7.88 万元；差旅交通费 15.28 万元；资料印刷费 15.14万元；材料成本费 10.34 万元。项目组严格执行财政资金管理办法、公益二类事业单位财务管理、院财务等财政专项资金使用管理制度，实行专款专用。严格执行财政资金使用科目及定额，依法依规使用资金，做到帐目清晰明了，无挪用、侵占专项资金现象。</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（3）项目实施情况分析</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本项目立项于 2021 年 6 月，项目资金下达于 2021 年 9</w:t>
      </w:r>
    </w:p>
    <w:p>
      <w:pPr>
        <w:pStyle w:val="2"/>
        <w:numPr>
          <w:ilvl w:val="0"/>
          <w:numId w:val="0"/>
        </w:numPr>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月，先期自筹资金按时开展调研工作。项目组在领导小组的带领下，严格执行相关技术规程规范及管理制度，按部就班、有条不紊地开展外业调研，并及时对调研成果进行数理分析统计，按时保质完成我省重点保护野生动物致害补偿探究工作。并自筹资金，计划于 2022 年上半年在我省野生动物致害重点县市区继续开展补充调研工作，为主管部门出台我省重点保护野生动物致害补偿办法提供科学决策依据。</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（4）项目绩效情况分析</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1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①</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社会效益：湖南省重点保护陆生野生动物肇事多发生在边远山区、自然保护地周边的经济欠发达地区，当地居民耕种的农作物或圈养的家禽家畜在遭到野生动物侵害后，若不能及时得到相应的补偿，无遗于贫困生活雪上加霜，很有可能因此返贫。所以，该项目建设社会效益相当明显，有助于保障受害人的基本生产生活资料，可有效缓解人兽矛盾，促进社会和谐发展，并有效提高政府公信力。</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2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②</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生态效益：本项目致力于保护受害人的合法利益，鼓励群众保护好当地森林植被，为野生动物提供优良生态空间。在其受到野生动物肇事财产损失后，理应受到国家合法补偿，这有助于受害人一如既往保护好生态环境，项目建设具有较好的生态效益。</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3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③</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可持续影响效益：本项目实施形成的调研成果，有利于加速我省陆生野生动物致害补偿办法出台，有利于保护受害主体经济损失得到一定的补偿，缓解人兽冲突，促进社会和谐、可持续发展。</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（5）存在的问题</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本项目立项于 2021 年 6 月，启动于 2021 年 6 月，但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专项资金下达时间较晚（2021 年 9 月），不利于专项资金使用。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本项目对全省 122 个县（市、区）的野生动物致害重点区域进行调研，范围广，资金少，时间短，加之新冠肺炎疫情影响，增加了项目实施难度和成本支出。</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（6）自评打分：99.70分</w:t>
      </w:r>
    </w:p>
    <w:p>
      <w:pPr>
        <w:numPr>
          <w:ilvl w:val="0"/>
          <w:numId w:val="0"/>
        </w:numPr>
        <w:ind w:firstLine="600" w:firstLineChars="200"/>
        <w:jc w:val="left"/>
        <w:rPr>
          <w:rFonts w:hint="default" w:ascii="Times New Roman" w:hAnsi="Times New Roman" w:eastAsia="仿宋" w:cs="Times New Roman"/>
          <w:b/>
          <w:bCs/>
          <w:color w:val="auto"/>
          <w:kern w:val="2"/>
          <w:sz w:val="30"/>
          <w:szCs w:val="30"/>
          <w:lang w:val="en-US" w:eastAsia="zh-CN" w:bidi="ar-SA"/>
        </w:rPr>
      </w:pPr>
      <w:r>
        <w:rPr>
          <w:rFonts w:hint="default" w:ascii="Times New Roman" w:hAnsi="Times New Roman" w:eastAsia="仿宋" w:cs="Times New Roman"/>
          <w:b/>
          <w:bCs/>
          <w:color w:val="auto"/>
          <w:kern w:val="2"/>
          <w:sz w:val="30"/>
          <w:szCs w:val="30"/>
          <w:lang w:val="en-US" w:eastAsia="zh-CN" w:bidi="ar-SA"/>
        </w:rPr>
        <w:t>5、森林资源管理专项</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该专项包括11个预算子项目：财政林木良种繁育补助30万元，高精度通导遥一体化森林资源外业监测10万元，湖南林业发展报告编制50万元，湖南省"十四五"林业草原发展规划90万元，湖南省天然林和公益林保护修复中长期规划245万元、湖南省主要林分类碳汇基线体系研究30万元，全国重要生态系统保护和修复重大工程总体规划54万元，全省十四五森林采伐限额编制168万元，森林督查(含公益林.天然林)245万元，森林质量精准提升建设导则编制40万元，森林资源管理“一张图”196万元，退耕还林省级复查30万元，合计1188万元。</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（1）绩效目标</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1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①</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促使各基地规范合理使用财政资金，加强基地生产建设管理，提升基地良种生产能力、提高基地管理水平，为省级考核提供依据；</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2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②</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针对高分影像（高分1号、2号）影像预处理效率指标优于35分钟/景。针对高分影像预处理指标，项目组共采用14景高分影像，在处理器为Intel(R) Core(TM) i7、8GB内存和NVIDIA GeForce GTX 1060 6GB 显卡的配置台式机测试进行了时间效率和稳健型测试；14景影像通过预处理程序，由1级影像产品校正为3级正射影像产品，全通过测试，通过率（不包括未测项和变更项）为100%；高分影像的平均预处理时间为33分10秒，达到预期指标要求；</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3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③</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梳理了我省林业发展现状，提出了问题及建议，对我省林业发展宏观政策制定起到积极作用；</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4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④</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开展了多轮征求意见与成果完善，形成了规划、主要指标说明等成果材料，并于2021年7月30日发布正式成果（湖南省林业局印发《湖南省“十四五”林业发展规划》的通知 湘林规[2021]15号）；</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5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⑤</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建立健全湖南省天然林、公益林保护修复制度体系，持续加强全部天然林、公益林资源的有效管护，确保天然林、公益林面积长期基本稳定、质量持续提高、功能逐步提升，“碳中和”功能增强，基本形成天然林、公益林“一湖三山四水”高质量发展格局。编制《湖南省天然林和公益林保护修复中长期规划（2021-2035年）》文本，完成与国土三调数据库的融合，编制县级天然林和公益林保护修复实施方案指南；</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6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⑥</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研建了湖南省杉木、马尾松、阔叶树林分碳汇基线模型，形成了湖南省主要林分类型碳汇基线模型体系，编写了《湖南省主要林分类型碳汇基线模型体系研究报告》；</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7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⑦</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向省林业局和各县市区林业主管部门收集建库所需资料，负责开展外业核实工作。通过对数据的整理和统计、落图图斑分布图制作、成果数据库建设工作，实现了采伐限额的信息化管理。</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8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⑧</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全面掌握全省森林资源保护管理情况，完善“覆盖全省、分级负责、上下联动、齐抓共管”的常态化森林资源监管监测机制；加大对涉林案件的发现、查处和整改力度， 坚决遏制违法破坏森林资源行为，督促各地依法落实保护发展森林资源目标责任制要求。</w:t>
      </w:r>
    </w:p>
    <w:p>
      <w:pPr>
        <w:pStyle w:val="2"/>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 xml:space="preserve">    </w:t>
      </w: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9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⑨</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“十四五”采伐限额编制目标：2021年2月底前，完成技术服务队伍选定、工作调研、经费预算编制、实施方案编制、业务培训等工作，明确任务分工，动员部署，正式启动建库工作。</w:t>
      </w:r>
    </w:p>
    <w:p>
      <w:pPr>
        <w:pStyle w:val="2"/>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2021年3月底前，完成最新森林资源管理一张图成果数据、最新森林资源规划设计调查成果数据、最新遥感影像数据等基础资料的收集分析。2021年5月底前，技术服务队伍对相关数据进行预处理工作。并在此基础上开展森林资源自然增长等技术处理形成内业成果，提出野外核实所需的疑问图斑、工作任务、工作底图、标准要求等。2021年10月底前，技术服务队伍针对内业处理中发现存在疑问的图斑，结合问题实际，在各县市区林业主管部门的协助下，组织核实森林资源问题图斑现状，完成野外核实工作。2021年11月底前，技术服务队伍利用遥感影像及内外业调查成果，以地理信息软件为工作平台，采用一体化建库，按限额类型，基本建成包括主伐、更新采伐、抚育采伐、低产低效林改造采伐和其他采伐在内的矢量数据。2021年12月底前，技术服务队伍完成数据汇总分析，编制以图件、表格、数据库等多种形式呈现的建库成果。</w:t>
      </w:r>
    </w:p>
    <w:p>
      <w:pPr>
        <w:pStyle w:val="2"/>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10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⑩</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对29个项目实施县进行实地核查和资料收集汇总，编制了2021年度退耕还林项目、生态廊道质量评价项目检查验收报告。交付了最终2021年度退耕还林项目、生态廊道质量评价项目检查验收报告。对2个重点实施县的营造林质量评价项目进行实地核查和资料收集，编制2021年度重点项目营造林质量评价项目检查验收报告，交付最终2021年度重点项目营造林质量评价项目检查验收报告；</w:t>
      </w:r>
    </w:p>
    <w:p>
      <w:pPr>
        <w:pStyle w:val="2"/>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 xml:space="preserve">    ⑪提高全省森林质量，解决人工林过密、过纯、树种单一和生态功能不强等问题，制定符合湖南省森林质量提升要求的建设导则，为湖南省林业主管部门开展森林质量精准提升工作提供科学依据。项目主要成果为《湖南省人工林森林质量精准提升建设导则》。</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（2）专项资金使用和管理情况</w:t>
      </w:r>
    </w:p>
    <w:p>
      <w:pPr>
        <w:pStyle w:val="2"/>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本专项财政资金1188万元，实际使用1188万元。按照相关政策和有关资金支出规范性管理要求，包括资金支出进度和范围等与申报计划的相符性，用于对13个国家重点林木良种基地和4个国家林木种质资源库、1个省直省级重点林木良种基地和3个省直省级林木种质资源库开展现场查验评价，对10个省级重点林木良种基地和10个省级林木种质资源库开展面积核实；对湖南省林业发展情况进行调研、收集、统计及编制报告；为森林资源精细化调查和动态监测提供长效性、智能化辅助分析工具，提高林业调查监测的效率和质量，提升人工智能技术在其他高分遥感产业化领域的应用提供有力辅助，以及退耕还林检查验收、省级营造林质量评价、生态廊道质量评价等等方面。资金支出的合理、合法和合规。无资金违规使用、闲置等情况。</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（3）项目实施情况分析</w:t>
      </w:r>
    </w:p>
    <w:p>
      <w:pPr>
        <w:pStyle w:val="2"/>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组织专业技术人员组成项目组或检查验收团队，在省林业局牵头领导下，通过实地调研、资料查阅、数据库建设、数据统计等方式，对10个省级重点林木良种基地和10个省级林木种质资源库开展了面积核实，对13个国家级重点林木良种基地和4个国家级林木种质资源库、1个省直省级重点林木良种基地和3个省直省级林木种质资源库开展了现场查验评价，形成了专项检查验收成果。</w:t>
      </w:r>
    </w:p>
    <w:p>
      <w:pPr>
        <w:pStyle w:val="2"/>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重点研究和分析省内森林资源外业监测的实际业务流程和数据运行方式，进一步运用通导遥数据探索在森林资源外业监测应用中的可行性、可用性、结合点及其应用模式，最终设计出基于高精度通导遥的合理的森林资源监测和产业应用典型业务流程。面向森林资源精细化监测的高分遥感数据预处理技术，主要研发面向林地类型精细分类的星载/机载数据筛选技术，针对快视图在满足要求数据质量要求条件下快速自动优选1A级数据，减少人为选取的工作量；研发面向深度卷积网络分类的高分数据校正与增强技术，构建自动化处理软件工具模块。采用北斗导航差分定位技术，研究小型化、低功耗、结构和接口通用的北斗导航差分定位终端，以及基于物联网技术的低速、低耗电、低成本的通信终端，提供互联互通能力。开发承载高分遥感数据的服务平台。平台汇集高分遥感数据以及来自于移动终端的采集矢量数据，实现基于网络B/S架构的信息展示与服务APP软件。</w:t>
      </w:r>
    </w:p>
    <w:p>
      <w:pPr>
        <w:pStyle w:val="2"/>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我院对接收的判读数据、遥感影像、森林资源管理“一张图”等基础资料进行预处理并分发，用于县级林业主管部门开展森林督查工作。湖南省林业局组织召开了全省森林督查工作启动会、技术培训班。各市州、县市区林业主管部门分管领导、资源科（股）长、技术骨干，以及技术支撑单位，共660多人参加了培训班。通过培训班共同学习了技术规定和操作方法等，统一了思想认识、明确了督查任务、统一了督查标准，并强调了督查纪律和有关要求。各县级林业主管部门组织技术力量收集相关的资料，与前期森林资源管理“一张图”和森林资源档案等有关资料进行内业核实，并结合必要的现地核实，查清所有图斑变化原因，更新到森林资源管理“一张图”数据库，同步完成森林督查数据库，形成县级森林资源管理“一张图”年度更新和森林督查工作报告、统计表，8月底前将各县自查数据库和文字报告等自查结果上报各个技术支撑单位。各技术支撑单位负责技术指导工作，对各县（市、区）进行技术指导，解答技术问题及督促进度。我院、省林科院、邵阳院、永州中心、怀化院、湘西院、娄底中心等7个省检单位根据省局安排从8月底开始对县级自查上报的森林督查自查结果进行全面内业检查，10月对省局抽取30个县（市、区）的县级自查情况开展省级检查。各县（市、区）根据省级复查再对成果数据进行修正和完善，根据统计汇总的数据，编写全省森林督查报告，提交省局资源处。</w:t>
      </w:r>
    </w:p>
    <w:p>
      <w:pPr>
        <w:pStyle w:val="2"/>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研建了湖南省杉木、马尾松、阔叶树林分碳汇基线模型，形成了湖南省主要林分类型碳汇基线模型体系，编写了《湖南省主要林分类型碳汇基线模型体系研究报告》。</w:t>
      </w:r>
    </w:p>
    <w:p>
      <w:pPr>
        <w:pStyle w:val="2"/>
        <w:numPr>
          <w:ilvl w:val="0"/>
          <w:numId w:val="0"/>
        </w:numPr>
        <w:ind w:left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（4）项目绩效情况分析</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1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①</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经济效益：促进了优良种子（穗条）产出产值达到100%，促进了乔木林蓄积生长，促进了林下经济等特色产业发展，促进了实现森林碳汇生态价值，发现、制止、查处破坏森林资源问题，有利于增加湖南省人工林经济价值，提高外业调查效率，带动全省林业经济发展。</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2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②</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社会效益：梳理全省林业产业发展，强化森林资源的保护，社会生态保护意识增强，人类生存环境得到改善。通过良种培育、进一步优化调整林业产业结构、指导限额的合理使用、促进造林质量和营造林管理水平的提高，助推乡村振兴，有效带动林农增收，并为社会提供多个就业岗位。落实保护发展森林资源目标责任制要求，有利于指导湖南省人工林森林提质提升建设。</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3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③</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生态效益：通过梳理全省林业生态保护修复现状，使用良种生态环境改善，提升森林质量、增强生态功能，保护生物多样性、维护生态平衡，优化林分结构，增加碳汇储量，强化全社会对国土绿化的认识等方式，增强森林应对气候变化的能力，为全省林业宏观政策制定提供参考。有助于增加湖南省人工林生态效益和提高城乡生态环境质量，促进湖南省国土绿化事业的健康发展。</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4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④</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可持续发展效益：通过使用良种提高产量，指导十四五期间限额使用，宣传生态保护，进一步提升森林资源保护与管理水平，有效维护林区的稳定，增强湿地和保障经济的可持续发展，为全省林业宏观政策制定提供科学依据，有效促进湖南省人工林健康和湖南省林业可持续、稳定的发展。</w:t>
      </w:r>
    </w:p>
    <w:p>
      <w:pPr>
        <w:pStyle w:val="2"/>
        <w:numPr>
          <w:ilvl w:val="0"/>
          <w:numId w:val="0"/>
        </w:numPr>
        <w:ind w:left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（5）自评评分：99.64分</w:t>
      </w:r>
    </w:p>
    <w:p>
      <w:pPr>
        <w:pStyle w:val="2"/>
        <w:numPr>
          <w:ilvl w:val="0"/>
          <w:numId w:val="0"/>
        </w:numPr>
        <w:ind w:firstLine="600" w:firstLineChars="200"/>
        <w:rPr>
          <w:rFonts w:hint="default" w:ascii="Times New Roman" w:hAnsi="Times New Roman" w:eastAsia="仿宋" w:cs="Times New Roman"/>
          <w:b/>
          <w:bCs/>
          <w:color w:val="auto"/>
          <w:kern w:val="2"/>
          <w:sz w:val="30"/>
          <w:szCs w:val="30"/>
          <w:lang w:val="en-US" w:eastAsia="zh-CN" w:bidi="ar-SA"/>
        </w:rPr>
      </w:pPr>
      <w:r>
        <w:rPr>
          <w:rFonts w:hint="default" w:ascii="Times New Roman" w:hAnsi="Times New Roman" w:eastAsia="仿宋" w:cs="Times New Roman"/>
          <w:b/>
          <w:bCs/>
          <w:color w:val="auto"/>
          <w:kern w:val="2"/>
          <w:sz w:val="30"/>
          <w:szCs w:val="30"/>
          <w:lang w:val="en-US" w:eastAsia="zh-CN" w:bidi="ar-SA"/>
        </w:rPr>
        <w:t>6、城乡建设用地增减挂钩监测监管专项（全民所有自然资源资产清查常德地区试点项目）</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（1）绩效目标</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完成32个县的国家价格体系信息采集与常德市的全民所有森林资源资产实物量清查任务，在这完成过程中形成一系列技术方案、数据库、资源报告、资源图集等成果。</w:t>
      </w:r>
    </w:p>
    <w:p>
      <w:pPr>
        <w:numPr>
          <w:ilvl w:val="0"/>
          <w:numId w:val="3"/>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专项资金使用和管理情况</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本项目财政拨款100万元，实际支出100万元，支出率100%。单位各项财务制度健全，</w:t>
      </w:r>
      <w:bookmarkStart w:id="3" w:name="_Hlk78983509"/>
      <w:r>
        <w:rPr>
          <w:rFonts w:hint="default" w:ascii="Times New Roman" w:hAnsi="Times New Roman" w:eastAsia="仿宋" w:cs="Times New Roman"/>
          <w:color w:val="auto"/>
          <w:kern w:val="2"/>
          <w:sz w:val="30"/>
          <w:szCs w:val="30"/>
          <w:lang w:val="en-US" w:eastAsia="zh-CN" w:bidi="ar-SA"/>
        </w:rPr>
        <w:t>本项目建设独立核算，专人负责，专款专用，工程结算支付按《现金管理暂行条例》要求执行，并自觉接受上级财务检查，没出现违规违纪现象</w:t>
      </w:r>
      <w:bookmarkEnd w:id="3"/>
      <w:r>
        <w:rPr>
          <w:rFonts w:hint="default" w:ascii="Times New Roman" w:hAnsi="Times New Roman" w:eastAsia="仿宋" w:cs="Times New Roman"/>
          <w:color w:val="auto"/>
          <w:kern w:val="2"/>
          <w:sz w:val="30"/>
          <w:szCs w:val="30"/>
          <w:lang w:val="en-US" w:eastAsia="zh-CN" w:bidi="ar-SA"/>
        </w:rPr>
        <w:t>，项目工程按自然资源厅要求进行。</w:t>
      </w:r>
    </w:p>
    <w:p>
      <w:pPr>
        <w:numPr>
          <w:ilvl w:val="0"/>
          <w:numId w:val="3"/>
        </w:numPr>
        <w:ind w:left="0" w:leftChars="0"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项目实施情况分析</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全民所有自然资源资产清查是摸清资产家底的重要途径。我省试点工作要以习近平生态文明思想为指导，以自然资源产权制度改革为导向，以查清全民所有自然资源资产为目标，严格遵循部确定的自然资源资产清查试点工作技术路线及工作方法，充分结合我省自然资源禀赋实际，按照省市县三级同步开展的原则，科学选取试点地区，基本掌握其森林全民所有自然资源资产情况，探索森林资源资产清查“湖南模式”，研究拟定全民所有森林资源资产所有权委托代理制度建议方案，为切实履行全民所有森林资源资产所有者职责提供重要支撑。</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省级层面：由省自然资源厅牵头，会同省林业局组织，具体技术工作由湖南省地质调查院牵头承担，湖南省农林工业勘察设计研究总院、湖南省国土规划院、省测绘二院等单位机构配合。试点地区自然资源主管部门和林业主管部门负责协调数据汇集、补充调查、初步核实等相关工作。省里成立省试点工作推进小组负责清查工作的组织和领导，协调解决重大问题。市县建立相应的工作小组和协调机制，负责本地区清查工作的组织和协调。</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森林资源资产清查任务由湖南省农林工业勘察设计研究总院作为技术支撑单位负责清查工作的具体建设任务，包括编制实施方案和技术操作细则，开展技术培训，进行国土三调与林地一张图数据融合、外业现地验证、质量检查，完成数据建库、成果计算分析等工作，并配合省级项目检查组完成项目检查验收。</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（4）项目绩效情况分析</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1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①</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经济效益：促进森林资源可持续发展。</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2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②</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社会效益：推进了生态文明的建设，促进生态保护和高质量发展。</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3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③</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生态效益：促进森林资源保护。</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4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④</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可持续效益：促进全民所有自然资源资产清查体系建设。</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（5）自评评分：100分</w:t>
      </w:r>
    </w:p>
    <w:p>
      <w:pPr>
        <w:pStyle w:val="2"/>
        <w:numPr>
          <w:ilvl w:val="0"/>
          <w:numId w:val="0"/>
        </w:numPr>
        <w:ind w:firstLine="600" w:firstLineChars="200"/>
        <w:rPr>
          <w:rFonts w:hint="default" w:ascii="Times New Roman" w:hAnsi="Times New Roman" w:eastAsia="仿宋" w:cs="Times New Roman"/>
          <w:b/>
          <w:bCs/>
          <w:color w:val="auto"/>
          <w:kern w:val="2"/>
          <w:sz w:val="30"/>
          <w:szCs w:val="30"/>
          <w:lang w:val="en-US" w:eastAsia="zh-CN" w:bidi="ar-SA"/>
        </w:rPr>
      </w:pPr>
      <w:r>
        <w:rPr>
          <w:rFonts w:hint="default" w:ascii="Times New Roman" w:hAnsi="Times New Roman" w:eastAsia="仿宋" w:cs="Times New Roman"/>
          <w:b/>
          <w:bCs/>
          <w:color w:val="auto"/>
          <w:kern w:val="2"/>
          <w:sz w:val="30"/>
          <w:szCs w:val="30"/>
          <w:lang w:val="en-US" w:eastAsia="zh-CN" w:bidi="ar-SA"/>
        </w:rPr>
        <w:t>7、预算内基本建设（市县）专项</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（1）绩效目标</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通过组织相关专业的专家对由湖南省建筑科学研究院有限责任公司编制完成的《长沙民政职业技术学院综合楼建设项目可行性研究报告》和由</w:t>
      </w:r>
      <w:r>
        <w:rPr>
          <w:rFonts w:hint="default" w:ascii="Times New Roman" w:hAnsi="Times New Roman" w:eastAsia="仿宋" w:cs="Times New Roman"/>
          <w:color w:val="auto"/>
          <w:sz w:val="30"/>
          <w:szCs w:val="30"/>
          <w:lang w:val="en-US" w:eastAsia="zh-CN"/>
        </w:rPr>
        <w:t>湖南省第一工业设计研究院有限公司编制完成的</w:t>
      </w:r>
      <w:r>
        <w:rPr>
          <w:rFonts w:hint="default" w:ascii="Times New Roman" w:hAnsi="Times New Roman" w:eastAsia="仿宋" w:cs="Times New Roman"/>
          <w:color w:val="auto"/>
          <w:sz w:val="30"/>
          <w:szCs w:val="30"/>
        </w:rPr>
        <w:t>《</w:t>
      </w:r>
      <w:r>
        <w:rPr>
          <w:rFonts w:hint="default" w:ascii="Times New Roman" w:hAnsi="Times New Roman" w:eastAsia="仿宋" w:cs="Times New Roman"/>
          <w:color w:val="auto"/>
          <w:sz w:val="30"/>
          <w:szCs w:val="30"/>
          <w:lang w:eastAsia="zh-CN"/>
        </w:rPr>
        <w:t>湖南体育职业学院新建教学训练楼建设项目可行性研究报告</w:t>
      </w:r>
      <w:r>
        <w:rPr>
          <w:rFonts w:hint="default" w:ascii="Times New Roman" w:hAnsi="Times New Roman" w:eastAsia="仿宋" w:cs="Times New Roman"/>
          <w:color w:val="auto"/>
          <w:sz w:val="30"/>
          <w:szCs w:val="30"/>
        </w:rPr>
        <w:t>》</w:t>
      </w:r>
      <w:r>
        <w:rPr>
          <w:rFonts w:hint="default" w:ascii="Times New Roman" w:hAnsi="Times New Roman" w:eastAsia="仿宋" w:cs="Times New Roman"/>
          <w:color w:val="auto"/>
          <w:kern w:val="2"/>
          <w:sz w:val="30"/>
          <w:szCs w:val="30"/>
          <w:lang w:val="en-US" w:eastAsia="zh-CN" w:bidi="ar-SA"/>
        </w:rPr>
        <w:t>进行专家评审、提出专家审查意见，协调可研编制单位根据评审意见进行修改，形成评估报告，其目的主要为对《长沙民政职业技术学院综合楼建设项目可行性研究报告》和</w:t>
      </w:r>
      <w:r>
        <w:rPr>
          <w:rFonts w:hint="default" w:ascii="Times New Roman" w:hAnsi="Times New Roman" w:eastAsia="仿宋" w:cs="Times New Roman"/>
          <w:color w:val="auto"/>
          <w:sz w:val="30"/>
          <w:szCs w:val="30"/>
        </w:rPr>
        <w:t>《</w:t>
      </w:r>
      <w:r>
        <w:rPr>
          <w:rFonts w:hint="default" w:ascii="Times New Roman" w:hAnsi="Times New Roman" w:eastAsia="仿宋" w:cs="Times New Roman"/>
          <w:color w:val="auto"/>
          <w:sz w:val="30"/>
          <w:szCs w:val="30"/>
          <w:lang w:eastAsia="zh-CN"/>
        </w:rPr>
        <w:t>湖南体育职业学院新建教学训练楼建设项目可行性研究报告</w:t>
      </w:r>
      <w:r>
        <w:rPr>
          <w:rFonts w:hint="default" w:ascii="Times New Roman" w:hAnsi="Times New Roman" w:eastAsia="仿宋" w:cs="Times New Roman"/>
          <w:color w:val="auto"/>
          <w:sz w:val="30"/>
          <w:szCs w:val="30"/>
        </w:rPr>
        <w:t>》</w:t>
      </w:r>
      <w:r>
        <w:rPr>
          <w:rFonts w:hint="default" w:ascii="Times New Roman" w:hAnsi="Times New Roman" w:eastAsia="仿宋" w:cs="Times New Roman"/>
          <w:color w:val="auto"/>
          <w:kern w:val="2"/>
          <w:sz w:val="30"/>
          <w:szCs w:val="30"/>
          <w:lang w:val="en-US" w:eastAsia="zh-CN" w:bidi="ar-SA"/>
        </w:rPr>
        <w:t>进行评估，为省发改委审批该项目提供评估咨询意见。</w:t>
      </w:r>
    </w:p>
    <w:p>
      <w:pPr>
        <w:keepNext w:val="0"/>
        <w:keepLines w:val="0"/>
        <w:pageBreakBefore w:val="0"/>
        <w:widowControl w:val="0"/>
        <w:numPr>
          <w:ilvl w:val="0"/>
          <w:numId w:val="4"/>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专项资金使用和管理情况</w:t>
      </w:r>
    </w:p>
    <w:p>
      <w:pPr>
        <w:pStyle w:val="16"/>
        <w:spacing w:line="360" w:lineRule="auto"/>
        <w:ind w:firstLine="600"/>
        <w:rPr>
          <w:rFonts w:hint="default" w:ascii="Times New Roman" w:hAnsi="Times New Roman" w:eastAsia="仿宋" w:cs="Times New Roman"/>
          <w:color w:val="auto"/>
          <w:sz w:val="30"/>
          <w:szCs w:val="30"/>
          <w:lang w:eastAsia="zh-CN"/>
        </w:rPr>
      </w:pPr>
      <w:r>
        <w:rPr>
          <w:rFonts w:hint="default" w:ascii="Times New Roman" w:hAnsi="Times New Roman" w:eastAsia="仿宋" w:cs="Times New Roman"/>
          <w:color w:val="auto"/>
          <w:sz w:val="30"/>
          <w:szCs w:val="30"/>
        </w:rPr>
        <w:t>本项目</w:t>
      </w:r>
      <w:r>
        <w:rPr>
          <w:rFonts w:hint="default" w:ascii="Times New Roman" w:hAnsi="Times New Roman" w:eastAsia="仿宋" w:cs="Times New Roman"/>
          <w:color w:val="auto"/>
          <w:sz w:val="30"/>
          <w:szCs w:val="30"/>
          <w:lang w:eastAsia="zh-CN"/>
        </w:rPr>
        <w:t>财政拨款</w:t>
      </w:r>
      <w:r>
        <w:rPr>
          <w:rFonts w:hint="default" w:ascii="Times New Roman" w:hAnsi="Times New Roman" w:eastAsia="仿宋" w:cs="Times New Roman"/>
          <w:color w:val="auto"/>
          <w:sz w:val="30"/>
          <w:szCs w:val="30"/>
          <w:lang w:val="en-US" w:eastAsia="zh-CN"/>
        </w:rPr>
        <w:t>17.80</w:t>
      </w:r>
      <w:r>
        <w:rPr>
          <w:rFonts w:hint="default" w:ascii="Times New Roman" w:hAnsi="Times New Roman" w:eastAsia="仿宋" w:cs="Times New Roman"/>
          <w:color w:val="auto"/>
          <w:sz w:val="30"/>
          <w:szCs w:val="30"/>
        </w:rPr>
        <w:t>万元，专项资金实际支出</w:t>
      </w:r>
      <w:r>
        <w:rPr>
          <w:rFonts w:hint="default" w:ascii="Times New Roman" w:hAnsi="Times New Roman" w:eastAsia="仿宋" w:cs="Times New Roman"/>
          <w:color w:val="auto"/>
          <w:sz w:val="30"/>
          <w:szCs w:val="30"/>
          <w:lang w:val="en-US" w:eastAsia="zh-CN"/>
        </w:rPr>
        <w:t>17.80</w:t>
      </w:r>
      <w:r>
        <w:rPr>
          <w:rFonts w:hint="default" w:ascii="Times New Roman" w:hAnsi="Times New Roman" w:eastAsia="仿宋" w:cs="Times New Roman"/>
          <w:color w:val="auto"/>
          <w:sz w:val="30"/>
          <w:szCs w:val="30"/>
        </w:rPr>
        <w:t>万元，支出率100%。项目纳入我院资金使用年度预算，实行单独核算、专人负责、专款专用，主要用于</w:t>
      </w:r>
      <w:r>
        <w:rPr>
          <w:rFonts w:hint="default" w:ascii="Times New Roman" w:hAnsi="Times New Roman" w:eastAsia="仿宋" w:cs="Times New Roman"/>
          <w:color w:val="auto"/>
          <w:sz w:val="30"/>
          <w:szCs w:val="30"/>
          <w:lang w:eastAsia="zh-CN"/>
        </w:rPr>
        <w:t>评估评审办公</w:t>
      </w:r>
      <w:r>
        <w:rPr>
          <w:rFonts w:hint="default" w:ascii="Times New Roman" w:hAnsi="Times New Roman" w:eastAsia="仿宋" w:cs="Times New Roman"/>
          <w:color w:val="auto"/>
          <w:sz w:val="30"/>
          <w:szCs w:val="30"/>
        </w:rPr>
        <w:t>费、</w:t>
      </w:r>
      <w:r>
        <w:rPr>
          <w:rFonts w:hint="default" w:ascii="Times New Roman" w:hAnsi="Times New Roman" w:eastAsia="仿宋" w:cs="Times New Roman"/>
          <w:color w:val="auto"/>
          <w:sz w:val="30"/>
          <w:szCs w:val="30"/>
          <w:lang w:val="en-US" w:eastAsia="zh-CN"/>
        </w:rPr>
        <w:t>印刷费和其他商品、咨询服务</w:t>
      </w:r>
      <w:r>
        <w:rPr>
          <w:rFonts w:hint="default" w:ascii="Times New Roman" w:hAnsi="Times New Roman" w:eastAsia="仿宋" w:cs="Times New Roman"/>
          <w:color w:val="auto"/>
          <w:sz w:val="30"/>
          <w:szCs w:val="30"/>
        </w:rPr>
        <w:t>的支付</w:t>
      </w:r>
      <w:r>
        <w:rPr>
          <w:rFonts w:hint="default" w:ascii="Times New Roman" w:hAnsi="Times New Roman" w:eastAsia="仿宋" w:cs="Times New Roman"/>
          <w:color w:val="auto"/>
          <w:sz w:val="30"/>
          <w:szCs w:val="30"/>
          <w:lang w:eastAsia="zh-CN"/>
        </w:rPr>
        <w:t>。严格按照申报程序进行申报，由湖南省发改委对项目提交材料进行复审，并同省财政厅提出专项资金安排，项目资金下达之后由我院相关部门预算进行分解。我院各项财务制度健全，本项目进行单独财务，项目结算支付按《现金管理暂行条例》要求执行，并自觉接受上级财务检查，没出现违规违纪现象。</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项目实施情况分析</w:t>
      </w:r>
    </w:p>
    <w:p>
      <w:pPr>
        <w:pStyle w:val="16"/>
        <w:spacing w:line="360" w:lineRule="auto"/>
        <w:ind w:firstLine="600"/>
        <w:rPr>
          <w:rFonts w:hint="default" w:ascii="Times New Roman" w:hAnsi="Times New Roman" w:eastAsia="仿宋" w:cs="Times New Roman"/>
          <w:color w:val="auto"/>
          <w:sz w:val="30"/>
          <w:szCs w:val="30"/>
          <w:lang w:eastAsia="zh-CN"/>
        </w:rPr>
      </w:pPr>
      <w:r>
        <w:rPr>
          <w:rFonts w:hint="default" w:ascii="Times New Roman" w:hAnsi="Times New Roman" w:eastAsia="仿宋" w:cs="Times New Roman"/>
          <w:color w:val="auto"/>
          <w:sz w:val="30"/>
          <w:szCs w:val="30"/>
          <w:lang w:eastAsia="zh-CN"/>
        </w:rPr>
        <w:t>根据项目特点情况，在</w:t>
      </w:r>
      <w:r>
        <w:rPr>
          <w:rFonts w:hint="default" w:ascii="Times New Roman" w:hAnsi="Times New Roman" w:eastAsia="仿宋" w:cs="Times New Roman"/>
          <w:color w:val="auto"/>
          <w:kern w:val="2"/>
          <w:sz w:val="30"/>
          <w:szCs w:val="30"/>
          <w:lang w:val="en-US" w:eastAsia="zh-CN" w:bidi="ar-SA"/>
        </w:rPr>
        <w:t>《长沙民政职业技术学院综合楼建设项目可行性研究报告》和</w:t>
      </w:r>
      <w:r>
        <w:rPr>
          <w:rFonts w:hint="default" w:ascii="Times New Roman" w:hAnsi="Times New Roman" w:eastAsia="仿宋" w:cs="Times New Roman"/>
          <w:color w:val="auto"/>
          <w:sz w:val="30"/>
          <w:szCs w:val="30"/>
        </w:rPr>
        <w:t>《</w:t>
      </w:r>
      <w:r>
        <w:rPr>
          <w:rFonts w:hint="default" w:ascii="Times New Roman" w:hAnsi="Times New Roman" w:eastAsia="仿宋" w:cs="Times New Roman"/>
          <w:color w:val="auto"/>
          <w:sz w:val="30"/>
          <w:szCs w:val="30"/>
          <w:lang w:eastAsia="zh-CN"/>
        </w:rPr>
        <w:t>湖南体育职业学院新建教学训练楼建设项目可行性研究报告</w:t>
      </w:r>
      <w:r>
        <w:rPr>
          <w:rFonts w:hint="default" w:ascii="Times New Roman" w:hAnsi="Times New Roman" w:eastAsia="仿宋" w:cs="Times New Roman"/>
          <w:color w:val="auto"/>
          <w:sz w:val="30"/>
          <w:szCs w:val="30"/>
        </w:rPr>
        <w:t>》</w:t>
      </w:r>
      <w:r>
        <w:rPr>
          <w:rFonts w:hint="default" w:ascii="Times New Roman" w:hAnsi="Times New Roman" w:eastAsia="仿宋" w:cs="Times New Roman"/>
          <w:color w:val="auto"/>
          <w:sz w:val="30"/>
          <w:szCs w:val="30"/>
          <w:lang w:eastAsia="zh-CN"/>
        </w:rPr>
        <w:t>编制单位提交报告后，提前组织各相关评估评审咨询专家，对报告文本进行熟悉；之后组织专项专家评审会议，各专业专家独立发表评审专家意见，协调可研编制单位根据评审意见进行修改，最后形成评估报告。</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（4）项目绩效情况分析</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1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①</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经济效益：发现问题，挽回经济损失。</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2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②</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社会效益：落实项目的目标责任制要求。</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3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③</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生态效益：有效遏制违法破坏资源行为。</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4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④</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可持续发展效益：宣传生态保护、进一步提升资源保护与管理水平。</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（5）自评评分：100分</w:t>
      </w:r>
    </w:p>
    <w:p>
      <w:pPr>
        <w:pStyle w:val="2"/>
        <w:numPr>
          <w:ilvl w:val="0"/>
          <w:numId w:val="0"/>
        </w:numPr>
        <w:ind w:firstLine="600" w:firstLineChars="200"/>
        <w:rPr>
          <w:rFonts w:hint="default" w:ascii="Times New Roman" w:hAnsi="Times New Roman" w:eastAsia="仿宋" w:cs="Times New Roman"/>
          <w:b/>
          <w:bCs/>
          <w:color w:val="auto"/>
          <w:kern w:val="2"/>
          <w:sz w:val="30"/>
          <w:szCs w:val="30"/>
          <w:lang w:val="en-US" w:eastAsia="zh-CN" w:bidi="ar-SA"/>
        </w:rPr>
      </w:pPr>
      <w:r>
        <w:rPr>
          <w:rFonts w:hint="default" w:ascii="Times New Roman" w:hAnsi="Times New Roman" w:eastAsia="仿宋" w:cs="Times New Roman"/>
          <w:b/>
          <w:bCs/>
          <w:color w:val="auto"/>
          <w:kern w:val="2"/>
          <w:sz w:val="30"/>
          <w:szCs w:val="30"/>
          <w:lang w:val="en-US" w:eastAsia="zh-CN" w:bidi="ar-SA"/>
        </w:rPr>
        <w:t>8、湖南省现代服务业发展专项项目（湖南油茶产业融合服务平台建设项目）</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（1）绩效目标</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将开发集油茶林再流转服务平台、油茶产业大数据平台、油茶产业金融服务平台、茶油产品互联网销售平台等四大平台在内的产业融合服务平台，为湖南油茶产业提供可视化管理服务、品牌化建设推广，助力油茶区域性优势产业和特色产业打造。</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开展对全省新造高产油茶林资源摸底调查、产量测算，对有流转意向的油茶林以项目形式进行了先期资源调查和资产评估，开展油茶林再流转数据库建设工作；与第三方金融机构合作，开通普惠金融和抵押贷款服务；搭建“湖南茶油”公用品牌产品京东交易平台。</w:t>
      </w:r>
    </w:p>
    <w:p>
      <w:pPr>
        <w:keepNext w:val="0"/>
        <w:keepLines w:val="0"/>
        <w:pageBreakBefore w:val="0"/>
        <w:widowControl w:val="0"/>
        <w:numPr>
          <w:ilvl w:val="0"/>
          <w:numId w:val="5"/>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专项资金使用和管理情况</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本项目补助资金 160万元，专项资金实际支出 160万元，支出率 100%。全部为省级财政《湘财外指[2021]4号》下拨。我单位各项财务制度健全，本项目建设单独财务，单独核算，专人负责，专款专用，工程结算支付按《现金管理暂行条例》要求执行，并自觉接受上级财务检查，没出现违规违纪现象。</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项目实施情况分析</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本项目自 2021 年 1 月起，分三个阶段有序推进项目进程：</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2021 年 1 月—2021 年 5 月：完成油茶产业大数据服务平台建设主体内容；完成茶油产品互联网销售京东平台开通工作；</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2021 年 6 月—2021 年 8 月：完成全省油茶林资源分布</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调查，不同品种、产期等油茶林产量测算，完成油茶林再流转服务平台开发与制度建设；与第三方金融机构合作，开通普惠金融和抵押贷款服务，市场体系搭建，宣传推广和相关培训；茶油产品互联网销售平台——“湖南茶油”公用品牌京东旗舰店进入试运营阶段；</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2021 年 9 月—2021 年 12 月：建设完成油茶产业大数据</w:t>
      </w: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服务平台。</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本项目开展对全省新造高产油茶林资源摸底调查、产量测算，对有流转意向的油茶林以项目形式进行了先期资源调查和资产评估，开展油茶林再流转数据库建设工作；与第三方金融机构合作，开通普惠金融和抵押贷款服务；整合“湖南茶油”公用品牌现有基础条件，与京东平台对接搭建集产品销售、营销推广于一体的“湖南茶油”公用品牌产品京东交易平台。</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（4）项目绩效情况分析</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1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①</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经济效益：持续释放的油茶产业发展红利，提高企业经营效益，促进农民就业增收。</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2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②</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社会效益：提升湖南油茶产业平台化综合管理与信息服务水平，提高“湖南茶油”公用品牌的市场竞争合力。</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3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③</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生态效益：带动提高林地综合经营效益、增加农民收入、调整林业产业结构、改善生态环境，助力精准扶贫和乡村振兴，精准实现油茶千亿产业目标。</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4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④</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可持续发展效益：扎实推动生态文明建设和绿色发展。</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（5）自评评分：100分</w:t>
      </w:r>
    </w:p>
    <w:p>
      <w:pPr>
        <w:pStyle w:val="2"/>
        <w:numPr>
          <w:ilvl w:val="0"/>
          <w:numId w:val="0"/>
        </w:numPr>
        <w:ind w:firstLine="600" w:firstLineChars="200"/>
        <w:rPr>
          <w:rFonts w:hint="default" w:ascii="Times New Roman" w:hAnsi="Times New Roman" w:eastAsia="仿宋" w:cs="Times New Roman"/>
          <w:b/>
          <w:bCs/>
          <w:color w:val="auto"/>
          <w:kern w:val="2"/>
          <w:sz w:val="30"/>
          <w:szCs w:val="30"/>
          <w:lang w:val="en-US" w:eastAsia="zh-CN" w:bidi="ar-SA"/>
        </w:rPr>
      </w:pPr>
      <w:r>
        <w:rPr>
          <w:rFonts w:hint="default" w:ascii="Times New Roman" w:hAnsi="Times New Roman" w:eastAsia="仿宋" w:cs="Times New Roman"/>
          <w:b/>
          <w:bCs/>
          <w:color w:val="auto"/>
          <w:kern w:val="2"/>
          <w:sz w:val="30"/>
          <w:szCs w:val="30"/>
          <w:lang w:val="en-US" w:eastAsia="zh-CN" w:bidi="ar-SA"/>
        </w:rPr>
        <w:t>9、动植物保护专项（湖南省生物多样性监测评价项目）</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（1）绩效目标</w:t>
      </w:r>
    </w:p>
    <w:p>
      <w:pPr>
        <w:pStyle w:val="4"/>
        <w:ind w:left="0" w:leftChars="0"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开展资料收集、外业调查，编制《湖南省生物多样性监测评价报告》成果材料。</w:t>
      </w:r>
    </w:p>
    <w:p>
      <w:pPr>
        <w:keepNext w:val="0"/>
        <w:keepLines w:val="0"/>
        <w:pageBreakBefore w:val="0"/>
        <w:widowControl w:val="0"/>
        <w:numPr>
          <w:ilvl w:val="0"/>
          <w:numId w:val="6"/>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专项资金使用和管理情况</w:t>
      </w:r>
    </w:p>
    <w:p>
      <w:pPr>
        <w:pStyle w:val="4"/>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本项目财政资金共计91万元，资金下达文件为2021〔湘财预－专项〕0001号，实际使用资金91万元，主要用于开展湖南省生物多样性监测评价工作，包括工作开展过程中发生的资料印刷、外业调查旅费、聘请劳务人员协助工作开展等。本单位各项财务制度健全，本项目建设单独财务核算，专人负责，专款专用，工程结算支付按相关法律法规的要求执行，并自觉接受上级财务检查，未出现违规违纪现象。</w:t>
      </w:r>
    </w:p>
    <w:p>
      <w:pPr>
        <w:pStyle w:val="4"/>
        <w:ind w:left="0" w:leftChars="0"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（3）项目实施情况分析</w:t>
      </w:r>
    </w:p>
    <w:p>
      <w:pPr>
        <w:pStyle w:val="4"/>
        <w:ind w:left="0" w:leftChars="0"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我院森林资源与生态环境监测中心（项目具体承担部门）在承接该项目后，根据项目管理制度及工作程序，成立了专门的项目组。随后，项目负责人积极组织项目组成员确定了项目实施安排计划，明确人员负责内容，并及时编制了项目实施工作方案，确定监测评价对象与范围、监测评价评价指标、工作进度安排等内容。</w:t>
      </w:r>
    </w:p>
    <w:p>
      <w:pPr>
        <w:pStyle w:val="4"/>
        <w:ind w:left="0" w:leftChars="0"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2021年3-12月，按照工作方案，项目组成员展开了具体的资料收集与数据处理分析等工作，并编制了项目成果报告大纲提交项目组成员讨论、审查，修改完善后，召集项目组成员开展资料补充收集、整理与分析工作，并聘请相关技术人员协助开展外业调查，进一步调查、收集相关市县的生物多样性监测评价数据和资料。</w:t>
      </w:r>
    </w:p>
    <w:p>
      <w:pPr>
        <w:pStyle w:val="4"/>
        <w:ind w:left="0" w:leftChars="0"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2021年12月，主要深入分析整理实地调查资料，结合成果报告大纲、资料、实地调查成果等，编制《湖南省生物多样性监测评价报告》，组织项目组成员及我院内相关专业主任工程师、专业副总工程师等对初步成果展开讨论，根据意见建议进一步修改完善成果。</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（4）项目绩效情况分析</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1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①</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社会效益：有利于提高社会公众生物多样性保护意识</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2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②</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生态效益：有助于保护和改善生物多样性现状</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3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③</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可持续发展效益：有效促进生物多样性保护与管理工作可持续发展。</w:t>
      </w:r>
    </w:p>
    <w:p>
      <w:pPr>
        <w:keepNext w:val="0"/>
        <w:keepLines w:val="0"/>
        <w:pageBreakBefore w:val="0"/>
        <w:widowControl w:val="0"/>
        <w:numPr>
          <w:ilvl w:val="0"/>
          <w:numId w:val="7"/>
        </w:numPr>
        <w:kinsoku/>
        <w:wordWrap/>
        <w:overflowPunct/>
        <w:topLinePunct w:val="0"/>
        <w:autoSpaceDE/>
        <w:autoSpaceDN/>
        <w:bidi w:val="0"/>
        <w:adjustRightInd/>
        <w:snapToGrid/>
        <w:ind w:left="30" w:leftChars="0" w:firstLine="600" w:firstLineChars="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存在的问题</w:t>
      </w:r>
    </w:p>
    <w:p>
      <w:pPr>
        <w:pStyle w:val="4"/>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对项目实施全过程进行总结分析，发现项目实施过程中还存在一些问题，由于资料收集和外业调查等工作量大，外业开展时间不尽合理，安排不够紧凑，导致最后成果编制时间较紧张。</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（6）自评评分：93分</w:t>
      </w:r>
    </w:p>
    <w:p>
      <w:pPr>
        <w:pStyle w:val="2"/>
        <w:numPr>
          <w:ilvl w:val="0"/>
          <w:numId w:val="0"/>
        </w:numPr>
        <w:ind w:firstLine="600" w:firstLineChars="200"/>
        <w:rPr>
          <w:rFonts w:hint="default" w:ascii="Times New Roman" w:hAnsi="Times New Roman" w:eastAsia="仿宋" w:cs="Times New Roman"/>
          <w:b/>
          <w:bCs/>
          <w:color w:val="auto"/>
          <w:kern w:val="2"/>
          <w:sz w:val="30"/>
          <w:szCs w:val="30"/>
          <w:lang w:val="en-US" w:eastAsia="zh-CN" w:bidi="ar-SA"/>
        </w:rPr>
      </w:pPr>
      <w:r>
        <w:rPr>
          <w:rFonts w:hint="default" w:ascii="Times New Roman" w:hAnsi="Times New Roman" w:eastAsia="仿宋" w:cs="Times New Roman"/>
          <w:b/>
          <w:bCs/>
          <w:color w:val="auto"/>
          <w:kern w:val="2"/>
          <w:sz w:val="30"/>
          <w:szCs w:val="30"/>
          <w:lang w:val="en-US" w:eastAsia="zh-CN" w:bidi="ar-SA"/>
        </w:rPr>
        <w:t>10、创新型省份建设专项（空天高分遥感大数据智能服务及森林资源监测应用技术项目）</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（1）绩效目标</w:t>
      </w:r>
    </w:p>
    <w:p>
      <w:pPr>
        <w:pStyle w:val="4"/>
        <w:ind w:left="0" w:leftChars="0"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为森林资源监测提供长效性、智能化辅助分析，提高森林资源监测的工作效率，研发高分遥感影像预处理和智能解译关键技术，开发森林资源外业监测系统和APP软件，研制高精度导航及通信终端原型，促进湖南省林业再信息化的发展。</w:t>
      </w:r>
    </w:p>
    <w:p>
      <w:pPr>
        <w:pStyle w:val="2"/>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 xml:space="preserve">    （2）专项资金使用和管理情况</w:t>
      </w:r>
    </w:p>
    <w:p>
      <w:pPr>
        <w:pStyle w:val="2"/>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根据湖南省财政厅、湖南省科学技术厅2020年12月31日联合下发的《关于下达2020年第八批创新型省份建设专项资金的通知》（湘财教指〔2020〕74号）文件，2020年12月31日下达本项目2020年专项资金100万元至项目牵头单位湖南省农林工业勘察设计研究总院，实际使用资金100万元。</w:t>
      </w:r>
    </w:p>
    <w:p>
      <w:pPr>
        <w:pStyle w:val="2"/>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依据项目任务书附属合作协议的约定，专项资金按照实施单位的工作量和技术研发难度进行分配，其中湖南省农林工业勘察设计研究总院占比30%，主要完成空天高分遥感数据在森林资源监测中的需求分析和应用验证工作；湖南神帆科技有限公司占比70%，主要完成空天遥感数据自动预处理、地物要素精细分类、动态信息智能挖掘等关键技术研发和信息承载和服务平台及移动终端的软硬件研制。2021年4月20日，双方签订技术开发（委托）合同“高分高精度通导遥一体化野外调查监测系统”，明确了联合承研方湖南神帆科技有限公司的具体的关键技术研发和系统研制工作，总院于2021年4月底拨付专项资金70万元至项目联合承研单位湖南神帆科技有限公司。</w:t>
      </w:r>
    </w:p>
    <w:p>
      <w:pPr>
        <w:pStyle w:val="4"/>
        <w:ind w:left="0" w:leftChars="0"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依据项目任务书（湖南创新型省份建设专项任务书，项目编号2020GK039）的要求，专项资金主要用于开展“空天高分遥感大数据智能服务及森林资源监测应用技术”项目所涉及的研发费、设备费、劳务费、专家咨询费、（会议、差旅、国际）合作交流费、材料费和（出版、文献、信息传播、知识产权）事务费等方面，资金使用未发生违规、闲置情况。</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项目实施情况分析</w:t>
      </w:r>
    </w:p>
    <w:p>
      <w:pPr>
        <w:pStyle w:val="4"/>
        <w:ind w:left="0" w:leftChars="0"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项目在申报时的建设周期为两年半，自2020年7月启动至2022年12月结束。该项目预期分三阶段进行，其中第一阶段2020年7月至2021年02月，初步完成应用需求分析调研和技术研发和产品研制方案设计工作。目前该阶段工作已完成，形成了空天高分遥感大数据智能服务系统软硬件总体设计方案。第二阶段从2021年03月至2021年12月，分为两步并行实施，第一步开展关键技术研发，构建算法工具集软件，制定技术体系集成方案；第二步开展大数据服务平台和移动终端的研制，完成各项关键技术的原型软件工具集的构建。第三阶段从2022年01月至2022年12月，完成整合各项关键技术的原型软硬件；结合实际数据开展应用验证任务，项目研究成果在试验区进行实际应用。</w:t>
      </w:r>
    </w:p>
    <w:p>
      <w:pPr>
        <w:pStyle w:val="4"/>
        <w:ind w:left="0" w:leftChars="0"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自2020年7月开始，项目实施单位成立了联合项目组，项目组在湖南省林业局、郴州市林业局等单位开展多次调研，深入分析了空天遥感数据在森林资源调查、监测领域的应用情况，特别是区县一级自然资源局和林草局、国有/集体林场等单位对高分辨率遥感影像数据的需求情况，形成了高分遥感森林监测应用需求分析报告。</w:t>
      </w:r>
    </w:p>
    <w:p>
      <w:pPr>
        <w:pStyle w:val="4"/>
        <w:ind w:left="0" w:leftChars="0"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基于需求调研结果，结合林业部门信息化建设的现状和实际需求，项目形成了空天高分遥感大数据智能服务系统的总体设计方案，为后续的关键技术研发和应用验证提供了顶层设计支撑。</w:t>
      </w:r>
    </w:p>
    <w:p>
      <w:pPr>
        <w:pStyle w:val="4"/>
        <w:ind w:left="0" w:leftChars="0"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此外，项目组还调研了高分湖南遥感数据与应用中心、湖南省生态环境监测中心、中南大学、长沙理工大学等单位，为关键技术研发和系统研制打了良好的基础。</w:t>
      </w:r>
    </w:p>
    <w:p>
      <w:pPr>
        <w:pStyle w:val="4"/>
        <w:ind w:left="0" w:leftChars="0"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本项目在关键技术研发方面完成了如下工作：1）空天多源高分遥感数据自动预处理技术；2）基于深度网络的高分遥感影像地物要素精细分类技术；3）空天高分遥感大数据地物要素动态信息智能挖掘技术；4）构建了基于公有云的遥感监测数据共享分发线上服务测试平台，开发了一套高精度通导遥一体化野外监测桌面端系统和移动APP软件；5）开展了高精度通导遥一体化的外业调查定位终端原理样机的研制。</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（4）项目绩效情况分析</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1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①</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经济效益：提高外业调查效率，节省遥感影像处理费用。</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2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②</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社会效益：强化了森林资源保护。</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3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③</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生态效益：维护了生态安全。</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4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④</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可持续发展效益：持续发挥生态作用显著。</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（5）自评评分：100分</w:t>
      </w:r>
    </w:p>
    <w:p>
      <w:pPr>
        <w:numPr>
          <w:ilvl w:val="0"/>
          <w:numId w:val="0"/>
        </w:numPr>
        <w:ind w:firstLine="600" w:firstLineChars="200"/>
        <w:jc w:val="left"/>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b/>
          <w:bCs/>
          <w:color w:val="auto"/>
          <w:kern w:val="2"/>
          <w:sz w:val="30"/>
          <w:szCs w:val="30"/>
          <w:lang w:val="en-US" w:eastAsia="zh-CN" w:bidi="ar-SA"/>
        </w:rPr>
        <w:t>11、湿地保护专项（湖南省湿地公园建设与管理）</w:t>
      </w:r>
    </w:p>
    <w:p>
      <w:pPr>
        <w:pStyle w:val="2"/>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（1）绩效目标</w:t>
      </w:r>
    </w:p>
    <w:p>
      <w:pPr>
        <w:pStyle w:val="2"/>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进一步贯彻党的十九大提出的强化湿地保护和恢复的决策部署，认真落实习近平总书记考察湖南的指示精神，强化湿地管理能力建设，不断提升全省湿地公园保护管理水平，促进全省湿地保护事业的持续健康发展，推动生态文明建设，实现人与自然、经济社会与生态环境的和谐共生、协调发展；增加生态系统服务价值；项目具有可持续效益。</w:t>
      </w:r>
    </w:p>
    <w:p>
      <w:pPr>
        <w:pStyle w:val="2"/>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（2）专项资金使用和管理情况</w:t>
      </w:r>
    </w:p>
    <w:p>
      <w:pPr>
        <w:pStyle w:val="2"/>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本专项财政资金50万元，实际使用50万元，资金用于对全省70处国家湿地公园（其中56处正式授牌，14处处于试点建设期）和8处省级湿地公园开展湿地公园质量管理评估;主要涉及办公费、外业差旅费、劳务费、咨询费和印刷费。本单位各项财务制度健全，本项目建设做到了专人负责，专款专用。</w:t>
      </w:r>
    </w:p>
    <w:p>
      <w:pPr>
        <w:pStyle w:val="2"/>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（3）项目实施情况分析</w:t>
      </w:r>
    </w:p>
    <w:p>
      <w:pPr>
        <w:pStyle w:val="2"/>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专项由湖南省林业局湿地中心组织，并为此下达了《湖南省林业局关于开展2021年湿地公园质量管理评估工作的通知》（湘林湿函〔2021〕28号），相关依据和流程合法合规。</w:t>
      </w:r>
    </w:p>
    <w:p>
      <w:pPr>
        <w:pStyle w:val="2"/>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我院收到本专项任务后，立即组织专业技术人员形成评估团队，开展了技术培训，通过查看相关资料、实地查看、走访、座谈会等方式，开展湿地公园本底条件、能力建设、总体规划实施情况、保护管理与合理利用、科研宣教与档案管理等5类30个评估因子核实打分，并针对评估中发现的现象提出意见、建议。</w:t>
      </w:r>
    </w:p>
    <w:p>
      <w:pPr>
        <w:pStyle w:val="2"/>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专项执行过程中未发生违法违纪现象，时间进度和提交的成果满足省林业局湿地中心和工作方案的要求。</w:t>
      </w:r>
    </w:p>
    <w:p>
      <w:pPr>
        <w:pStyle w:val="2"/>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专项产出成果包括搜集各湿地公园自评材料，结合外业核实形成打分表和评估报告。</w:t>
      </w:r>
    </w:p>
    <w:p>
      <w:pPr>
        <w:pStyle w:val="2"/>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专项支出进一步推进了我省国家湿地公园验收工作，有利于确保我省试点湿地公园顺利授牌；强化了全省湿地公园保护管理工作，有利于促进全省湿地保护事业的持续健康发展，推动生态文明建设，实现人与自然、经济社会与生态环境的和谐共生、协调发展。</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（4）项目绩效情况分析</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1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①</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社会效益：进一步推进国家湿地公园验收工作，确保我省试点湿地公园顺利授牌。</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2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②</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生态效益：强化全省湿地公园保护管理工作，促进全省湿地保护事业的持续健康发展，推动生态文明建设，实现人与自然、经济社会与生态环境的和谐共生、协调发展。</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3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③</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可持续发展效益：持续发挥生态作用显著，有效增强湿地可持续发展。</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（5）存在的问题</w:t>
      </w:r>
    </w:p>
    <w:p>
      <w:pPr>
        <w:pStyle w:val="2"/>
        <w:numPr>
          <w:ilvl w:val="0"/>
          <w:numId w:val="0"/>
        </w:numPr>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2021年度湖南省湿地公园质量管理评估专项资金全额用于本项目建设专项上，实行专账管理，按照专项资金管理和使用办法，按会计制度进行单独的会计核算，林业专项资金使用规范，账务清晰，原始凭证齐全；实行责任目标管理，在项目实施和资金使用过程中，制定了科学合理的林业专项资金管理办法，实行责任目标管理，采取报账制。</w:t>
      </w:r>
    </w:p>
    <w:p>
      <w:pPr>
        <w:pStyle w:val="2"/>
        <w:numPr>
          <w:ilvl w:val="0"/>
          <w:numId w:val="0"/>
        </w:numPr>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由于项目工程量大，项目开展时间较长，在资金分项预算和实际支出方面存在差异和调整。</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（6）自评评分：95分</w:t>
      </w:r>
    </w:p>
    <w:p>
      <w:pPr>
        <w:pStyle w:val="2"/>
        <w:ind w:firstLine="600" w:firstLineChars="200"/>
        <w:rPr>
          <w:rFonts w:hint="default" w:ascii="Times New Roman" w:hAnsi="Times New Roman" w:eastAsia="仿宋" w:cs="Times New Roman"/>
          <w:b/>
          <w:bCs/>
          <w:color w:val="auto"/>
          <w:kern w:val="2"/>
          <w:sz w:val="30"/>
          <w:szCs w:val="30"/>
          <w:lang w:val="en-US" w:eastAsia="zh-CN" w:bidi="ar-SA"/>
        </w:rPr>
      </w:pPr>
      <w:r>
        <w:rPr>
          <w:rFonts w:hint="default" w:ascii="Times New Roman" w:hAnsi="Times New Roman" w:eastAsia="仿宋" w:cs="Times New Roman"/>
          <w:b/>
          <w:bCs/>
          <w:color w:val="auto"/>
          <w:kern w:val="2"/>
          <w:sz w:val="30"/>
          <w:szCs w:val="30"/>
          <w:lang w:val="en-US" w:eastAsia="zh-CN" w:bidi="ar-SA"/>
        </w:rPr>
        <w:t>12、对外合作与交流专项（欧投贷款项目检查及数据库维护）</w:t>
      </w:r>
    </w:p>
    <w:p>
      <w:pPr>
        <w:pStyle w:val="2"/>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（1）绩效目标</w:t>
      </w:r>
    </w:p>
    <w:p>
      <w:pPr>
        <w:pStyle w:val="2"/>
        <w:numPr>
          <w:ilvl w:val="0"/>
          <w:numId w:val="0"/>
        </w:numPr>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培训与指导22个是实施项目县的县级更新与维护欧洲投资银行贷款湖南森林提质增效示范项目数据库。因为新冠疫情的原因，最终对17个项目实施县进行调研和资料收集和汇总，编制并交付2021年度欧洲投资银行贷款湖南森林提质增效示范项目检查验收报告和数据库。</w:t>
      </w:r>
    </w:p>
    <w:p>
      <w:pPr>
        <w:pStyle w:val="2"/>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（2）专项资金的使用和管理情况</w:t>
      </w:r>
    </w:p>
    <w:p>
      <w:pPr>
        <w:pStyle w:val="2"/>
        <w:numPr>
          <w:ilvl w:val="0"/>
          <w:numId w:val="0"/>
        </w:numPr>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截至2021年12月31日，湖南省财政厅应拨付2021年度欧洲投资银行贷款湖南森林提质增效示范项目专项资金共计35万元，其中2021年度欧洲投资银行贷款湖南森林提质增效示范项目省级检查验收专项资金30万元；数据库建立与维护专项资金5万元。实际使用资金35万元，资金到位率100%。</w:t>
      </w:r>
    </w:p>
    <w:p>
      <w:pPr>
        <w:pStyle w:val="2"/>
        <w:numPr>
          <w:ilvl w:val="0"/>
          <w:numId w:val="0"/>
        </w:numPr>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项目单位对欧洲投资银行贷款湖南森林提质增效示范项目专项资金做到了专款专用、专项管理、分账核算，资金由省级财政统一下达到项目单位，由项目单位实行财政集中支付制度，保障资金使用的合规性。省级财政资金通过国库支付统一下达到项目单位，项目单位建立资金使用专帐，实行资金财政集中支付制度，对所有项目实行先验收后付款的程序，付款需提交支付发票、成果资料等凭证资料按程序申请支付，专项资金使用合理，没有虚列项目支出，没有出现截留、挤占、挪用等违规情况。</w:t>
      </w:r>
    </w:p>
    <w:p>
      <w:pPr>
        <w:pStyle w:val="2"/>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（3）项目实施情况分析</w:t>
      </w:r>
    </w:p>
    <w:p>
      <w:pPr>
        <w:pStyle w:val="2"/>
        <w:numPr>
          <w:ilvl w:val="0"/>
          <w:numId w:val="0"/>
        </w:numPr>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项目单位坚持按照“项目管理、合理规划、突出重点、分级负责”的原则，对2021年度欧洲投资银行贷款湖南森林提质增效示范项目专项工作进行统筹安排，统一部署，较好完成了项目申请立项、绩效目标和指标设定，按规定落实使用项目资金。</w:t>
      </w:r>
    </w:p>
    <w:p>
      <w:pPr>
        <w:pStyle w:val="2"/>
        <w:numPr>
          <w:ilvl w:val="0"/>
          <w:numId w:val="0"/>
        </w:numPr>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项目单位为完善欧洲投资银行贷款湖南森林提质增效示范项目专项资金管理，从源头上入手，落实责任，完善制度，合理使用，加强监管，确保了项目资金的管理使用高效率。一是加强领导，增强责任制意识，落实管理责任，成立项目实施领导小组，建立项目管理体系；二是加强资金管理制度建设，结合实际情况，制订出各项规章制度，将各项经济活动划分到具体工作岗位，按照岗位确定任务、职责和权限，贯彻执行所制订的相关财务制定，加强制度执行的监督，使专项资金的财务处管理有章可循；三是加强资金的支出管理，坚持“专项核算、专人管理、专款专用”的原则，严禁挤占、挪用专项资金。</w:t>
      </w:r>
    </w:p>
    <w:p>
      <w:pPr>
        <w:pStyle w:val="2"/>
        <w:numPr>
          <w:ilvl w:val="0"/>
          <w:numId w:val="0"/>
        </w:numPr>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目前欧洲投资银行贷款湖南提质增效示范项目省级检查验收和数据库建立与维护已经全部完成，项目建设以运用国外近自然森林经营理论和实践经验，通过调整森林结构，提升森林质量，美化森林景观，实施森林质量提升、林地复合经营和支撑体系建设三大内容，探索与示范森林质量提升、多功能森林利用的模式及方法，为促进湖南森林提质增效、湖南林业的可持续发展做好典型示范。</w:t>
      </w:r>
    </w:p>
    <w:p>
      <w:pPr>
        <w:pStyle w:val="2"/>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（4）项目绩效情况分析</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1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①</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社会效益：管理高效化</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2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②</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可持续发展效益：实现了数据资源流通</w:t>
      </w:r>
    </w:p>
    <w:p>
      <w:pPr>
        <w:pStyle w:val="2"/>
        <w:numPr>
          <w:ilvl w:val="0"/>
          <w:numId w:val="0"/>
        </w:numPr>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 xml:space="preserve">    （5）自评评分：99.5分</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b/>
          <w:bCs/>
          <w:color w:val="auto"/>
          <w:kern w:val="2"/>
          <w:sz w:val="30"/>
          <w:szCs w:val="30"/>
          <w:lang w:val="en-US" w:eastAsia="zh-CN" w:bidi="ar-SA"/>
        </w:rPr>
        <w:t>13、技术推广与转化专项</w:t>
      </w:r>
    </w:p>
    <w:p>
      <w:pPr>
        <w:pStyle w:val="2"/>
        <w:numPr>
          <w:ilvl w:val="0"/>
          <w:numId w:val="0"/>
        </w:numPr>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包括3个预算子项目：湖南竹木产业品牌建设推广及宣传组展58万元，花木产业有关标准导则30万元，林客到家林业电子商务融合平台建设升级20万元，合计108万元；</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（1）绩效目标</w:t>
      </w:r>
    </w:p>
    <w:p>
      <w:pPr>
        <w:pStyle w:val="2"/>
        <w:numPr>
          <w:ilvl w:val="0"/>
          <w:numId w:val="0"/>
        </w:numPr>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 xml:space="preserve">    花木产业有关标准导则绩效目标为编制《湖南省花木繁育基地认定管理办法》、《湖南省花木产业园区认定管理办法》和编制《湖南省花木主题公园认定管理办法》。</w:t>
      </w:r>
    </w:p>
    <w:p>
      <w:pPr>
        <w:pStyle w:val="2"/>
        <w:numPr>
          <w:ilvl w:val="0"/>
          <w:numId w:val="0"/>
        </w:numPr>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竹木产业品牌建设推广及林客到家林业电子商务融合平台建设升级的绩效目标为：第一、宣传企业形象。通过展览有效的提升竹木加工企业形象，提高产品的知名度和市场竞争力。第二、促进产品销售。创造直接销售；并打通渠道商、经销商等销售网络，与之建立联系；挖掘潜在客户。第三、展示新产品。用听觉和视觉等手段向媒体推荐新产品和服务，能够及时获取反馈。第四、开发新市场。参加不同地区的相关展会，也是企业考察市场的重要渠道。第五、市场调研。抓住市场调查的机会，了解顾客对价格、功能、和服务的需求。第六、依据《湖南省林下经济千亿产业发展规划（2018-2025年）》中的十大林下经济产业模式完善平台建设内容，依托湖南省林业产业协会、国有林场协会两个协会会员，进行产品调研，优选特色、优质产品；软、硬件升级；营销推广。</w:t>
      </w:r>
    </w:p>
    <w:p>
      <w:pPr>
        <w:pStyle w:val="2"/>
        <w:keepNext w:val="0"/>
        <w:keepLines w:val="0"/>
        <w:pageBreakBefore w:val="0"/>
        <w:widowControl w:val="0"/>
        <w:kinsoku/>
        <w:wordWrap/>
        <w:overflowPunct/>
        <w:topLinePunct w:val="0"/>
        <w:autoSpaceDE/>
        <w:autoSpaceDN/>
        <w:bidi w:val="0"/>
        <w:adjustRightInd/>
        <w:snapToGrid/>
        <w:ind w:firstLine="450" w:firstLineChars="15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（2）专项资金的使用和管理情况</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本专项财政拨款108万元，实际使用资金108万元，支出率 100% 。项目严格按照申报程序进行立项、申报，由湖南省林业局对项目申报材料进行复审，并同省财政厅提出专项资金安排，项目资金下达之后由我院相关部门预算进行分解。我单位各项财务制度健全，本项目实行单独核算，专人负责，专款专用，主要用于材料费、差旅费、资料费及其他科目支出。自觉接受上级财务检查，未出现违规违纪现象。</w:t>
      </w:r>
    </w:p>
    <w:p>
      <w:pPr>
        <w:pStyle w:val="2"/>
        <w:keepNext w:val="0"/>
        <w:keepLines w:val="0"/>
        <w:pageBreakBefore w:val="0"/>
        <w:widowControl w:val="0"/>
        <w:kinsoku/>
        <w:wordWrap/>
        <w:overflowPunct/>
        <w:topLinePunct w:val="0"/>
        <w:autoSpaceDE/>
        <w:autoSpaceDN/>
        <w:bidi w:val="0"/>
        <w:adjustRightInd/>
        <w:snapToGrid/>
        <w:ind w:firstLine="450" w:firstLineChars="15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（3）项目实施情况分析</w:t>
      </w:r>
    </w:p>
    <w:p>
      <w:pPr>
        <w:pStyle w:val="2"/>
        <w:numPr>
          <w:ilvl w:val="0"/>
          <w:numId w:val="0"/>
        </w:numPr>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 xml:space="preserve">    竹木产业品牌建设项目针对国家级林业重点展会、国家级农业领域重点展会、区域特色展会等相关展会开展前期调研，根据展会的性质、知名度、专业度、地理位置、展出时间、展会筹备方等因素进行综合考量，选择合适平台，集中展示我省优质竹产品。项目组在进行逐一筛选及征求企业意愿后，对不同展会的参展企业进行了调整，做出了合理的安排。对接广告设计公司，参考参展企业特点制定符合企业特色的展馆布局设计方案，并协调国家、省级、市级电视台，各大纸媒、期刊平台，各大互联网等媒体对参展企业进行现场采访报道，通过时下流量顶峰的直播平台，直播展会现场情况；通过电子设备、轮播大屏、特色装饰、特色宣传语等多元化的宣传媒介，吉祥物、专题推介会等营销手段，进一步提升宣传力度。但由于新冠疫情的突发，受疫情影响，很多产业都出现了萎缩、停滞，出于安全考量，只能暂缓原计划工作。面对疫情冲击，结合变化的形势，及时调整了工作部署，在持续推进展会筹备工作的同时，做好其他品牌建设推广工作。</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本项目建设期2021年4月-12月。第一阶段（2021年9月-10月）做好组展方、参展商、设计物流等外包公司的三方的沟通工作，制定参展方案并带队组织企业参展，做好组展统筹工作；做好竹产业品牌视频素材采集工作，形成短片样稿。第二阶段（2021年11月-12月）编制项目成果报告，进行项目分析，根据企业反馈，总结经验，为明年组展工作打好基础。</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林客到家”林业电子商务融合平台建设升级项目为确保工作推进有序、落实高效，我院成立了由林权中心主任龙素梅任组长，副主任左光辉任副组长的项目实施工作组，负责积极推进项目实施，确保完成各项工作任务。该项目建设期为 1 年，即 2021 年 1 月-2021 年 12 月。从产品调研及相关平台考察，到优选特色、优质林产品，到完成平台升级，直至成果推广及增值服务正式上线。通过对长沙市、株洲市、湘潭市、张家界市、常德市等市州实地考察相关企业的渠道控制、包装检测等环节，优中择优选取适合互联网终端零售的特色林产品 50 余种，采用产地直销，减少中间环节，薄利多销的营销方式，提高“林客到家”电商平台客流量。完善“林客到家”选品标准，主动对接生产厂家所在地市场监管部门，省级林业主管部门林产品质量检验检测机构，对拟上架商品在上年度可食用林产品质量检验检测结果数据库中进行比对，确保上架产品无质量问题。完成了对“林客到家”微信小程序的全新改版升级，后台功能更加完善，新增模块更加实用，操作管理更加便捷。页面布局更加合理，展示内容更加丰富，用户体验更加流畅，平台转化更加提高。确保平台稳定性，数据安全性及完整性，清晰记录数据的相关情况，并建立日常的安全备份和恢复机制。</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花木产业有关标准导则专项立项于2021年4月，项目组在领导小组的带领下，严格执行相关技术规程规范及管理制度，按部就班、有条不紊地开展文件编制工作，按时保质完成《湖南省花木产业园区认定管理办法》、《湖南省花木主题公园认定管理办法》及《湖南省花木产业园区认定管理办法》。</w:t>
      </w:r>
    </w:p>
    <w:p>
      <w:pPr>
        <w:pStyle w:val="2"/>
        <w:keepNext w:val="0"/>
        <w:keepLines w:val="0"/>
        <w:pageBreakBefore w:val="0"/>
        <w:widowControl w:val="0"/>
        <w:kinsoku/>
        <w:wordWrap/>
        <w:overflowPunct/>
        <w:topLinePunct w:val="0"/>
        <w:autoSpaceDE/>
        <w:autoSpaceDN/>
        <w:bidi w:val="0"/>
        <w:adjustRightInd/>
        <w:snapToGrid/>
        <w:ind w:firstLine="450" w:firstLineChars="15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（4）项目绩效情况分析</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1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①</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经济效益：有效带动林农增收，林企增益，《湖南省花木产业园区认定管理办法》、《湖南省花木主题公园认定管理办法》及《湖南省花木产业园区认定管理办法》的制定规范了花木产业有序发展，带动产业提升经济效益。</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2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②</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社会效益：打造品牌形象，提升产品销售。优化竹木产业行业现状，提升行业发展水平。为相关基地、园区和花园提供管理办法。</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3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③</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生态效益：提高生态保护意识，树立绿色发展理念，推动环保事业。花木繁育基地提高栽培质量，花木产业园区促进产业发展，花木主题公园改善生态环境。</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4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④</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可持续发展效益：花木产业综合实力显著提升，提供竹木品牌受众，持续发挥生态作用显著。</w:t>
      </w:r>
    </w:p>
    <w:p>
      <w:pPr>
        <w:pStyle w:val="2"/>
        <w:keepNext w:val="0"/>
        <w:keepLines w:val="0"/>
        <w:pageBreakBefore w:val="0"/>
        <w:widowControl w:val="0"/>
        <w:kinsoku/>
        <w:wordWrap/>
        <w:overflowPunct/>
        <w:topLinePunct w:val="0"/>
        <w:autoSpaceDE/>
        <w:autoSpaceDN/>
        <w:bidi w:val="0"/>
        <w:adjustRightInd/>
        <w:snapToGrid/>
        <w:ind w:firstLine="450" w:firstLineChars="15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（5）自评评分：100分</w:t>
      </w:r>
    </w:p>
    <w:p>
      <w:pPr>
        <w:pStyle w:val="2"/>
        <w:numPr>
          <w:ilvl w:val="0"/>
          <w:numId w:val="0"/>
        </w:numPr>
        <w:ind w:firstLine="600" w:firstLineChars="200"/>
        <w:rPr>
          <w:rFonts w:hint="default" w:ascii="Times New Roman" w:hAnsi="Times New Roman" w:eastAsia="仿宋" w:cs="Times New Roman"/>
          <w:b/>
          <w:bCs/>
          <w:color w:val="auto"/>
          <w:kern w:val="2"/>
          <w:sz w:val="30"/>
          <w:szCs w:val="30"/>
          <w:lang w:val="en-US" w:eastAsia="zh-CN" w:bidi="ar-SA"/>
        </w:rPr>
      </w:pPr>
      <w:r>
        <w:rPr>
          <w:rFonts w:hint="default" w:ascii="Times New Roman" w:hAnsi="Times New Roman" w:eastAsia="仿宋" w:cs="Times New Roman"/>
          <w:b/>
          <w:bCs/>
          <w:color w:val="auto"/>
          <w:kern w:val="2"/>
          <w:sz w:val="30"/>
          <w:szCs w:val="30"/>
          <w:lang w:val="en-US" w:eastAsia="zh-CN" w:bidi="ar-SA"/>
        </w:rPr>
        <w:t>14、事业运行专项</w:t>
      </w:r>
    </w:p>
    <w:p>
      <w:pPr>
        <w:pStyle w:val="2"/>
        <w:numPr>
          <w:ilvl w:val="0"/>
          <w:numId w:val="0"/>
        </w:numPr>
        <w:ind w:firstLine="6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包括4个预算子项目：产权交易中心运行经费151万元，枪弹中心管理15万元，设备购置60万元，林权制度改革研究20万元，合计246万元；</w:t>
      </w:r>
    </w:p>
    <w:p>
      <w:pPr>
        <w:pStyle w:val="2"/>
        <w:keepNext w:val="0"/>
        <w:keepLines w:val="0"/>
        <w:pageBreakBefore w:val="0"/>
        <w:widowControl w:val="0"/>
        <w:kinsoku/>
        <w:wordWrap/>
        <w:overflowPunct/>
        <w:topLinePunct w:val="0"/>
        <w:autoSpaceDE/>
        <w:autoSpaceDN/>
        <w:bidi w:val="0"/>
        <w:adjustRightInd/>
        <w:snapToGrid/>
        <w:ind w:firstLine="450" w:firstLineChars="15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（1）绩效目标</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全面推进林权制度改革是稳定和完善农村基本经营制度的必然要求，这是促进农民就业增收、建设生态文明、发展现代林业的战略举措，事关广大农民的切身利益，事关经济与社会可持续发展，事关农业安全与生态安全，事关实现社会主义新农村建设和全面建设小康社会的战略目标。本项目的实施为我省探索集体林权深化改革提供强有力的基础支撑，是在新时代下我省林权制度改革道路的积极探索。</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中部林业产权交易服务中心和枪弹中心管理中心都是挂靠到我单位的机构，林权中心致力于打造一流的林权交易服务、林业产业金融服务、林业产品电子商务服务、林业中介服务等综合性服务机构。根据《关于全省集体林权制度改革工作有关问题的会议纪要》（湘府阅[2011]29号)《湖南省林业厅关于请解决中部林业产权交易服务中心工作经费的请示》（湘林计函[2015]36号）文件精神：省财政厅要安排必要的运行经费。</w:t>
      </w:r>
    </w:p>
    <w:p>
      <w:pPr>
        <w:pStyle w:val="2"/>
        <w:keepNext w:val="0"/>
        <w:keepLines w:val="0"/>
        <w:pageBreakBefore w:val="0"/>
        <w:widowControl w:val="0"/>
        <w:kinsoku/>
        <w:wordWrap/>
        <w:overflowPunct/>
        <w:topLinePunct w:val="0"/>
        <w:autoSpaceDE/>
        <w:autoSpaceDN/>
        <w:bidi w:val="0"/>
        <w:adjustRightInd/>
        <w:snapToGrid/>
        <w:ind w:firstLine="450" w:firstLineChars="15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（2）专项资金的使用和管理情况</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该专项财政拨款246万元，专项实际使用资金246万元，支出率达到 100%。我单位各项财务制度健全，本项目建设单独核算专人负责，专款专用，工程结算支付按《现金管理暂行条例》要求执行，并自觉接受上级财务检查，没出现违规违纪现象。</w:t>
      </w:r>
    </w:p>
    <w:p>
      <w:pPr>
        <w:pStyle w:val="2"/>
        <w:keepNext w:val="0"/>
        <w:keepLines w:val="0"/>
        <w:pageBreakBefore w:val="0"/>
        <w:widowControl w:val="0"/>
        <w:kinsoku/>
        <w:wordWrap/>
        <w:overflowPunct/>
        <w:topLinePunct w:val="0"/>
        <w:autoSpaceDE/>
        <w:autoSpaceDN/>
        <w:bidi w:val="0"/>
        <w:adjustRightInd/>
        <w:snapToGrid/>
        <w:ind w:firstLine="450" w:firstLineChars="15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（3）项目实施情况分析</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林权制度改革研究专项为确保工作推进有序、落实高效，我院成立了由林权中心主任龙素梅任组长，副主任左光辉任副组长的项目实施工作组，负责积极推进项目实施，确保完成各项工作任务。本项目在实施过程中基础材料收集细致，形成《林权制度改革研究》调研报告，调研报告深入详实并按质按量完成，圆满实现项目预期目标。</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林权中心作为我省集体林权制度配套改革的龙头工程，关系到生态文明建设的推进和广大林农的切身利益。在规范私有林权交易，指导县级林业部门开展林权交易业务，督促国有、集体统一经营林权进入公共资源交易平台交易，受理、调查和处理国有、集体统一经营林权交易的举报、投诉工作，为促进产业发展（如油茶林再次流转）提供政策咨询和信息服务等方面仍有许多工作可做。同时，还承担了省林业局各业务处室大量产业调研、政策咨询等工作。</w:t>
      </w:r>
    </w:p>
    <w:p>
      <w:pPr>
        <w:pStyle w:val="2"/>
        <w:keepNext w:val="0"/>
        <w:keepLines w:val="0"/>
        <w:pageBreakBefore w:val="0"/>
        <w:widowControl w:val="0"/>
        <w:kinsoku/>
        <w:wordWrap/>
        <w:overflowPunct/>
        <w:topLinePunct w:val="0"/>
        <w:autoSpaceDE/>
        <w:autoSpaceDN/>
        <w:bidi w:val="0"/>
        <w:adjustRightInd/>
        <w:snapToGrid/>
        <w:ind w:firstLine="450" w:firstLineChars="15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（4）项目绩效情况分析</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1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①</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经济效益：持续释放的林改红利，提高林业经营效益，促进农民就业增收。</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2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②</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社会效益：助力稳定和完善农村基本经营制度。</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3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③</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生态效益：助力建设生态文明、发展现代林业。</w:t>
      </w: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 4 \* GB3 \* MERGEFORMAT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t>④</w:t>
      </w:r>
      <w:r>
        <w:rPr>
          <w:rFonts w:hint="default" w:ascii="Times New Roman" w:hAnsi="Times New Roman" w:eastAsia="仿宋" w:cs="Times New Roman"/>
          <w:color w:val="auto"/>
          <w:kern w:val="2"/>
          <w:sz w:val="30"/>
          <w:szCs w:val="30"/>
          <w:lang w:val="en-US" w:eastAsia="zh-CN" w:bidi="ar-SA"/>
        </w:rPr>
        <w:fldChar w:fldCharType="end"/>
      </w:r>
      <w:r>
        <w:rPr>
          <w:rFonts w:hint="default" w:ascii="Times New Roman" w:hAnsi="Times New Roman" w:eastAsia="仿宋" w:cs="Times New Roman"/>
          <w:color w:val="auto"/>
          <w:kern w:val="2"/>
          <w:sz w:val="30"/>
          <w:szCs w:val="30"/>
          <w:lang w:val="en-US" w:eastAsia="zh-CN" w:bidi="ar-SA"/>
        </w:rPr>
        <w:t>可持续效益：扎实推动生态文明建设和绿色发展。</w:t>
      </w:r>
    </w:p>
    <w:p>
      <w:pPr>
        <w:pStyle w:val="2"/>
        <w:keepNext w:val="0"/>
        <w:keepLines w:val="0"/>
        <w:pageBreakBefore w:val="0"/>
        <w:widowControl w:val="0"/>
        <w:kinsoku/>
        <w:wordWrap/>
        <w:overflowPunct/>
        <w:topLinePunct w:val="0"/>
        <w:autoSpaceDE/>
        <w:autoSpaceDN/>
        <w:bidi w:val="0"/>
        <w:adjustRightInd/>
        <w:snapToGrid/>
        <w:ind w:firstLine="450" w:firstLineChars="15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（5）存在的问题</w:t>
      </w:r>
    </w:p>
    <w:p>
      <w:pPr>
        <w:pStyle w:val="2"/>
        <w:keepNext w:val="0"/>
        <w:keepLines w:val="0"/>
        <w:pageBreakBefore w:val="0"/>
        <w:widowControl w:val="0"/>
        <w:kinsoku/>
        <w:wordWrap/>
        <w:overflowPunct/>
        <w:topLinePunct w:val="0"/>
        <w:autoSpaceDE/>
        <w:autoSpaceDN/>
        <w:bidi w:val="0"/>
        <w:adjustRightInd/>
        <w:snapToGrid/>
        <w:ind w:firstLine="450" w:firstLineChars="15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存在全省纸质林权证标准化、数字化、证书化不够的问题；且纸质林权证存在边界不准、权属不清、林权证登记面积与实际不符等方面问题。</w:t>
      </w:r>
    </w:p>
    <w:p>
      <w:pPr>
        <w:pStyle w:val="2"/>
        <w:keepNext w:val="0"/>
        <w:keepLines w:val="0"/>
        <w:pageBreakBefore w:val="0"/>
        <w:widowControl w:val="0"/>
        <w:kinsoku/>
        <w:wordWrap/>
        <w:overflowPunct/>
        <w:topLinePunct w:val="0"/>
        <w:autoSpaceDE/>
        <w:autoSpaceDN/>
        <w:bidi w:val="0"/>
        <w:adjustRightInd/>
        <w:snapToGrid/>
        <w:ind w:firstLine="450" w:firstLineChars="15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（6）自评评分：99分</w:t>
      </w:r>
    </w:p>
    <w:p>
      <w:pPr>
        <w:pStyle w:val="2"/>
        <w:numPr>
          <w:ilvl w:val="0"/>
          <w:numId w:val="0"/>
        </w:numPr>
        <w:rPr>
          <w:rFonts w:hint="default" w:ascii="Times New Roman" w:hAnsi="Times New Roman" w:eastAsia="仿宋" w:cs="Times New Roman"/>
          <w:color w:val="auto"/>
          <w:kern w:val="2"/>
          <w:sz w:val="30"/>
          <w:szCs w:val="30"/>
          <w:lang w:val="en-US" w:eastAsia="zh-CN" w:bidi="ar-SA"/>
        </w:rPr>
      </w:pPr>
    </w:p>
    <w:p>
      <w:pPr>
        <w:pStyle w:val="2"/>
        <w:numPr>
          <w:ilvl w:val="0"/>
          <w:numId w:val="0"/>
        </w:numPr>
        <w:ind w:firstLine="600" w:firstLineChars="200"/>
        <w:rPr>
          <w:rFonts w:hint="default" w:ascii="Times New Roman" w:hAnsi="Times New Roman" w:eastAsia="仿宋" w:cs="Times New Roman"/>
          <w:color w:val="auto"/>
          <w:kern w:val="2"/>
          <w:sz w:val="30"/>
          <w:szCs w:val="30"/>
          <w:lang w:val="en-US" w:eastAsia="zh-CN" w:bidi="ar-SA"/>
        </w:rPr>
      </w:pPr>
    </w:p>
    <w:p>
      <w:pPr>
        <w:ind w:firstLine="640" w:firstLineChars="200"/>
        <w:jc w:val="left"/>
        <w:rPr>
          <w:rFonts w:hint="default" w:ascii="Times New Roman" w:hAnsi="Times New Roman" w:cs="Times New Roman"/>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60356"/>
    <w:multiLevelType w:val="singleLevel"/>
    <w:tmpl w:val="87660356"/>
    <w:lvl w:ilvl="0" w:tentative="0">
      <w:start w:val="2"/>
      <w:numFmt w:val="decimal"/>
      <w:suff w:val="nothing"/>
      <w:lvlText w:val="（%1）"/>
      <w:lvlJc w:val="left"/>
    </w:lvl>
  </w:abstractNum>
  <w:abstractNum w:abstractNumId="1">
    <w:nsid w:val="ADA81C2A"/>
    <w:multiLevelType w:val="singleLevel"/>
    <w:tmpl w:val="ADA81C2A"/>
    <w:lvl w:ilvl="0" w:tentative="0">
      <w:start w:val="2"/>
      <w:numFmt w:val="decimal"/>
      <w:suff w:val="nothing"/>
      <w:lvlText w:val="（%1）"/>
      <w:lvlJc w:val="left"/>
    </w:lvl>
  </w:abstractNum>
  <w:abstractNum w:abstractNumId="2">
    <w:nsid w:val="B9AAF050"/>
    <w:multiLevelType w:val="singleLevel"/>
    <w:tmpl w:val="B9AAF050"/>
    <w:lvl w:ilvl="0" w:tentative="0">
      <w:start w:val="2"/>
      <w:numFmt w:val="decimal"/>
      <w:suff w:val="nothing"/>
      <w:lvlText w:val="（%1）"/>
      <w:lvlJc w:val="left"/>
    </w:lvl>
  </w:abstractNum>
  <w:abstractNum w:abstractNumId="3">
    <w:nsid w:val="C5EF4851"/>
    <w:multiLevelType w:val="singleLevel"/>
    <w:tmpl w:val="C5EF4851"/>
    <w:lvl w:ilvl="0" w:tentative="0">
      <w:start w:val="1"/>
      <w:numFmt w:val="chineseCounting"/>
      <w:suff w:val="nothing"/>
      <w:lvlText w:val="%1、"/>
      <w:lvlJc w:val="left"/>
      <w:rPr>
        <w:rFonts w:hint="eastAsia"/>
      </w:rPr>
    </w:lvl>
  </w:abstractNum>
  <w:abstractNum w:abstractNumId="4">
    <w:nsid w:val="15A97122"/>
    <w:multiLevelType w:val="singleLevel"/>
    <w:tmpl w:val="15A97122"/>
    <w:lvl w:ilvl="0" w:tentative="0">
      <w:start w:val="5"/>
      <w:numFmt w:val="decimal"/>
      <w:suff w:val="nothing"/>
      <w:lvlText w:val="（%1）"/>
      <w:lvlJc w:val="left"/>
      <w:pPr>
        <w:ind w:left="30"/>
      </w:pPr>
    </w:lvl>
  </w:abstractNum>
  <w:abstractNum w:abstractNumId="5">
    <w:nsid w:val="60C19E3C"/>
    <w:multiLevelType w:val="singleLevel"/>
    <w:tmpl w:val="60C19E3C"/>
    <w:lvl w:ilvl="0" w:tentative="0">
      <w:start w:val="2"/>
      <w:numFmt w:val="decimal"/>
      <w:suff w:val="nothing"/>
      <w:lvlText w:val="（%1）"/>
      <w:lvlJc w:val="left"/>
    </w:lvl>
  </w:abstractNum>
  <w:abstractNum w:abstractNumId="6">
    <w:nsid w:val="618FCF9C"/>
    <w:multiLevelType w:val="singleLevel"/>
    <w:tmpl w:val="618FCF9C"/>
    <w:lvl w:ilvl="0" w:tentative="0">
      <w:start w:val="1"/>
      <w:numFmt w:val="chineseCounting"/>
      <w:suff w:val="nothing"/>
      <w:lvlText w:val="（%1）"/>
      <w:lvlJc w:val="left"/>
      <w:pPr>
        <w:ind w:left="301" w:leftChars="0" w:firstLine="0" w:firstLineChars="0"/>
      </w:pPr>
      <w:rPr>
        <w:rFonts w:hint="eastAsia"/>
      </w:rPr>
    </w:lvl>
  </w:abstractNum>
  <w:num w:numId="1">
    <w:abstractNumId w:val="3"/>
  </w:num>
  <w:num w:numId="2">
    <w:abstractNumId w:val="6"/>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294C"/>
    <w:rsid w:val="00012EEE"/>
    <w:rsid w:val="00014647"/>
    <w:rsid w:val="0002229B"/>
    <w:rsid w:val="00026814"/>
    <w:rsid w:val="000273BD"/>
    <w:rsid w:val="00035E47"/>
    <w:rsid w:val="000415B7"/>
    <w:rsid w:val="00041E3F"/>
    <w:rsid w:val="00055DAA"/>
    <w:rsid w:val="00061F7B"/>
    <w:rsid w:val="000658A3"/>
    <w:rsid w:val="00074155"/>
    <w:rsid w:val="000873EF"/>
    <w:rsid w:val="000A3F69"/>
    <w:rsid w:val="000B5C09"/>
    <w:rsid w:val="000C276B"/>
    <w:rsid w:val="00103957"/>
    <w:rsid w:val="0010503F"/>
    <w:rsid w:val="00106C95"/>
    <w:rsid w:val="00112F13"/>
    <w:rsid w:val="001216CD"/>
    <w:rsid w:val="00124A1F"/>
    <w:rsid w:val="00137B2A"/>
    <w:rsid w:val="00152566"/>
    <w:rsid w:val="00152C6D"/>
    <w:rsid w:val="00162D39"/>
    <w:rsid w:val="00165661"/>
    <w:rsid w:val="001678BD"/>
    <w:rsid w:val="00182373"/>
    <w:rsid w:val="00186835"/>
    <w:rsid w:val="001948A8"/>
    <w:rsid w:val="001A67DB"/>
    <w:rsid w:val="001B2396"/>
    <w:rsid w:val="001C214E"/>
    <w:rsid w:val="001C3C29"/>
    <w:rsid w:val="001D0101"/>
    <w:rsid w:val="001D51E5"/>
    <w:rsid w:val="001E080D"/>
    <w:rsid w:val="001E53D0"/>
    <w:rsid w:val="001F0C3B"/>
    <w:rsid w:val="00201967"/>
    <w:rsid w:val="00202C14"/>
    <w:rsid w:val="00202C82"/>
    <w:rsid w:val="0020442E"/>
    <w:rsid w:val="002057BB"/>
    <w:rsid w:val="0021130F"/>
    <w:rsid w:val="00213C92"/>
    <w:rsid w:val="00214427"/>
    <w:rsid w:val="00221306"/>
    <w:rsid w:val="00226CB7"/>
    <w:rsid w:val="00240A7D"/>
    <w:rsid w:val="00244220"/>
    <w:rsid w:val="00264552"/>
    <w:rsid w:val="00264EF9"/>
    <w:rsid w:val="0026519A"/>
    <w:rsid w:val="00265724"/>
    <w:rsid w:val="0027426B"/>
    <w:rsid w:val="002876A4"/>
    <w:rsid w:val="002A0709"/>
    <w:rsid w:val="002A0FB7"/>
    <w:rsid w:val="002A49E5"/>
    <w:rsid w:val="002A6FBE"/>
    <w:rsid w:val="002E0A30"/>
    <w:rsid w:val="002F4530"/>
    <w:rsid w:val="002F790C"/>
    <w:rsid w:val="003130C4"/>
    <w:rsid w:val="00316C4B"/>
    <w:rsid w:val="0032192B"/>
    <w:rsid w:val="003479BD"/>
    <w:rsid w:val="00355E35"/>
    <w:rsid w:val="0037197D"/>
    <w:rsid w:val="003768D5"/>
    <w:rsid w:val="003A659D"/>
    <w:rsid w:val="003C417C"/>
    <w:rsid w:val="003C4197"/>
    <w:rsid w:val="003C47E6"/>
    <w:rsid w:val="003C4FC2"/>
    <w:rsid w:val="003C5EE6"/>
    <w:rsid w:val="003E2331"/>
    <w:rsid w:val="003F555C"/>
    <w:rsid w:val="003F7E17"/>
    <w:rsid w:val="00401F4F"/>
    <w:rsid w:val="00416E61"/>
    <w:rsid w:val="00422EFD"/>
    <w:rsid w:val="0042790C"/>
    <w:rsid w:val="004363FC"/>
    <w:rsid w:val="00445AB7"/>
    <w:rsid w:val="004506F9"/>
    <w:rsid w:val="004676A3"/>
    <w:rsid w:val="004717A2"/>
    <w:rsid w:val="00473DF3"/>
    <w:rsid w:val="00474842"/>
    <w:rsid w:val="00480D1F"/>
    <w:rsid w:val="00487911"/>
    <w:rsid w:val="00491741"/>
    <w:rsid w:val="004A09DD"/>
    <w:rsid w:val="004B0CEE"/>
    <w:rsid w:val="004B1025"/>
    <w:rsid w:val="004D1711"/>
    <w:rsid w:val="004D29BD"/>
    <w:rsid w:val="004E533E"/>
    <w:rsid w:val="004F2354"/>
    <w:rsid w:val="00500E5F"/>
    <w:rsid w:val="00501210"/>
    <w:rsid w:val="005122EF"/>
    <w:rsid w:val="0051441A"/>
    <w:rsid w:val="00517C33"/>
    <w:rsid w:val="00517D5F"/>
    <w:rsid w:val="00521AF2"/>
    <w:rsid w:val="00523644"/>
    <w:rsid w:val="0054069E"/>
    <w:rsid w:val="00544866"/>
    <w:rsid w:val="00546F96"/>
    <w:rsid w:val="0056022D"/>
    <w:rsid w:val="00562FAA"/>
    <w:rsid w:val="005767CC"/>
    <w:rsid w:val="00584A87"/>
    <w:rsid w:val="00586242"/>
    <w:rsid w:val="00590D9F"/>
    <w:rsid w:val="00591888"/>
    <w:rsid w:val="00595D26"/>
    <w:rsid w:val="00596CEB"/>
    <w:rsid w:val="005A74E6"/>
    <w:rsid w:val="005B404E"/>
    <w:rsid w:val="005C6AE7"/>
    <w:rsid w:val="005C7233"/>
    <w:rsid w:val="005D4D55"/>
    <w:rsid w:val="005D5BC7"/>
    <w:rsid w:val="005E2CFB"/>
    <w:rsid w:val="005F2103"/>
    <w:rsid w:val="005F3D1C"/>
    <w:rsid w:val="0062378F"/>
    <w:rsid w:val="00641842"/>
    <w:rsid w:val="00651EEC"/>
    <w:rsid w:val="00662AD9"/>
    <w:rsid w:val="0066585C"/>
    <w:rsid w:val="00686673"/>
    <w:rsid w:val="00687014"/>
    <w:rsid w:val="006871D0"/>
    <w:rsid w:val="00691E8C"/>
    <w:rsid w:val="006A22C4"/>
    <w:rsid w:val="006A348B"/>
    <w:rsid w:val="006A351B"/>
    <w:rsid w:val="006A51B2"/>
    <w:rsid w:val="006B0422"/>
    <w:rsid w:val="006C1B53"/>
    <w:rsid w:val="006D7730"/>
    <w:rsid w:val="006E5284"/>
    <w:rsid w:val="006F3EB5"/>
    <w:rsid w:val="00702E34"/>
    <w:rsid w:val="00704395"/>
    <w:rsid w:val="00710FE7"/>
    <w:rsid w:val="00717621"/>
    <w:rsid w:val="00720FF1"/>
    <w:rsid w:val="00727A53"/>
    <w:rsid w:val="007331DE"/>
    <w:rsid w:val="00787B42"/>
    <w:rsid w:val="007A70A6"/>
    <w:rsid w:val="007C4539"/>
    <w:rsid w:val="007F3657"/>
    <w:rsid w:val="00812ED5"/>
    <w:rsid w:val="008277D9"/>
    <w:rsid w:val="0084478C"/>
    <w:rsid w:val="0086638C"/>
    <w:rsid w:val="00874797"/>
    <w:rsid w:val="00886115"/>
    <w:rsid w:val="00892FBA"/>
    <w:rsid w:val="008A3E8D"/>
    <w:rsid w:val="008B2BF5"/>
    <w:rsid w:val="008D7F15"/>
    <w:rsid w:val="008F0CBE"/>
    <w:rsid w:val="0090676A"/>
    <w:rsid w:val="009237C4"/>
    <w:rsid w:val="00940D2C"/>
    <w:rsid w:val="00944C48"/>
    <w:rsid w:val="00950252"/>
    <w:rsid w:val="009527FA"/>
    <w:rsid w:val="00957ED2"/>
    <w:rsid w:val="00967F5D"/>
    <w:rsid w:val="00994243"/>
    <w:rsid w:val="009A0F95"/>
    <w:rsid w:val="009A46E7"/>
    <w:rsid w:val="009B3ADF"/>
    <w:rsid w:val="009C3B52"/>
    <w:rsid w:val="009D34FE"/>
    <w:rsid w:val="009E6817"/>
    <w:rsid w:val="009E6E9A"/>
    <w:rsid w:val="00A01D2B"/>
    <w:rsid w:val="00A073EE"/>
    <w:rsid w:val="00A33356"/>
    <w:rsid w:val="00A42218"/>
    <w:rsid w:val="00A501D7"/>
    <w:rsid w:val="00A70249"/>
    <w:rsid w:val="00A70B02"/>
    <w:rsid w:val="00A71D9F"/>
    <w:rsid w:val="00A80776"/>
    <w:rsid w:val="00A92E9F"/>
    <w:rsid w:val="00AA6502"/>
    <w:rsid w:val="00AB33B8"/>
    <w:rsid w:val="00AC4EC5"/>
    <w:rsid w:val="00AC75FD"/>
    <w:rsid w:val="00AD6B76"/>
    <w:rsid w:val="00AE26B1"/>
    <w:rsid w:val="00AE49FB"/>
    <w:rsid w:val="00AF6AB9"/>
    <w:rsid w:val="00B33BEA"/>
    <w:rsid w:val="00B57C9F"/>
    <w:rsid w:val="00B63572"/>
    <w:rsid w:val="00B6607E"/>
    <w:rsid w:val="00B845B3"/>
    <w:rsid w:val="00B85D8B"/>
    <w:rsid w:val="00BB4A40"/>
    <w:rsid w:val="00BD3958"/>
    <w:rsid w:val="00BD6C3E"/>
    <w:rsid w:val="00BE0878"/>
    <w:rsid w:val="00BE3674"/>
    <w:rsid w:val="00C102D3"/>
    <w:rsid w:val="00C10681"/>
    <w:rsid w:val="00C1229F"/>
    <w:rsid w:val="00C212C8"/>
    <w:rsid w:val="00C3049A"/>
    <w:rsid w:val="00C31B1E"/>
    <w:rsid w:val="00C457DD"/>
    <w:rsid w:val="00C57253"/>
    <w:rsid w:val="00C77645"/>
    <w:rsid w:val="00CA2179"/>
    <w:rsid w:val="00CD1966"/>
    <w:rsid w:val="00CD530C"/>
    <w:rsid w:val="00CE04C3"/>
    <w:rsid w:val="00CE556D"/>
    <w:rsid w:val="00CE76A0"/>
    <w:rsid w:val="00D1272C"/>
    <w:rsid w:val="00D148C6"/>
    <w:rsid w:val="00D16CF1"/>
    <w:rsid w:val="00D17A8A"/>
    <w:rsid w:val="00D214D6"/>
    <w:rsid w:val="00D30F35"/>
    <w:rsid w:val="00D31363"/>
    <w:rsid w:val="00D317FB"/>
    <w:rsid w:val="00D415BA"/>
    <w:rsid w:val="00D5451F"/>
    <w:rsid w:val="00D606F4"/>
    <w:rsid w:val="00D63761"/>
    <w:rsid w:val="00D63780"/>
    <w:rsid w:val="00D644EE"/>
    <w:rsid w:val="00D75489"/>
    <w:rsid w:val="00D976E0"/>
    <w:rsid w:val="00DA4277"/>
    <w:rsid w:val="00DA44FC"/>
    <w:rsid w:val="00DC0F40"/>
    <w:rsid w:val="00DC5F3F"/>
    <w:rsid w:val="00DD06FF"/>
    <w:rsid w:val="00DD0B74"/>
    <w:rsid w:val="00DD370E"/>
    <w:rsid w:val="00DD5FE9"/>
    <w:rsid w:val="00DE1B40"/>
    <w:rsid w:val="00E00C7A"/>
    <w:rsid w:val="00E024AA"/>
    <w:rsid w:val="00E209CF"/>
    <w:rsid w:val="00E37D6C"/>
    <w:rsid w:val="00E5243D"/>
    <w:rsid w:val="00E55B68"/>
    <w:rsid w:val="00E620E4"/>
    <w:rsid w:val="00E67BE6"/>
    <w:rsid w:val="00E8683C"/>
    <w:rsid w:val="00E87972"/>
    <w:rsid w:val="00EA2B72"/>
    <w:rsid w:val="00EA3A25"/>
    <w:rsid w:val="00EC6F7D"/>
    <w:rsid w:val="00ED2C3D"/>
    <w:rsid w:val="00F25EA1"/>
    <w:rsid w:val="00F74360"/>
    <w:rsid w:val="00F87A35"/>
    <w:rsid w:val="00F93A06"/>
    <w:rsid w:val="00FA26AA"/>
    <w:rsid w:val="00FB462F"/>
    <w:rsid w:val="00FD3D61"/>
    <w:rsid w:val="00FE16FA"/>
    <w:rsid w:val="00FE328A"/>
    <w:rsid w:val="00FE6269"/>
    <w:rsid w:val="00FF5CD6"/>
    <w:rsid w:val="32F71549"/>
    <w:rsid w:val="3DD762F1"/>
    <w:rsid w:val="3DD79B12"/>
    <w:rsid w:val="42FD0D0D"/>
    <w:rsid w:val="74ED20BB"/>
    <w:rsid w:val="76FD727E"/>
    <w:rsid w:val="77EF7500"/>
    <w:rsid w:val="77FFE5C4"/>
    <w:rsid w:val="BAFF4EA2"/>
    <w:rsid w:val="BBB5E2E3"/>
    <w:rsid w:val="CE6F2C0F"/>
    <w:rsid w:val="D5FF0C7D"/>
    <w:rsid w:val="DCFDC6E0"/>
    <w:rsid w:val="E5EFC5FF"/>
    <w:rsid w:val="EFD57E01"/>
    <w:rsid w:val="FDFE56FE"/>
    <w:rsid w:val="FE7F9926"/>
    <w:rsid w:val="FF5FA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next w:val="4"/>
    <w:qFormat/>
    <w:uiPriority w:val="0"/>
    <w:pPr>
      <w:spacing w:after="120"/>
      <w:ind w:left="200" w:leftChars="200"/>
    </w:pPr>
  </w:style>
  <w:style w:type="paragraph" w:styleId="4">
    <w:name w:val="Body Text First Indent 2"/>
    <w:basedOn w:val="3"/>
    <w:qFormat/>
    <w:uiPriority w:val="0"/>
    <w:pPr>
      <w:ind w:firstLine="420"/>
      <w:jc w:val="left"/>
    </w:pPr>
    <w:rPr>
      <w:sz w:val="32"/>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paragraph" w:customStyle="1" w:styleId="16">
    <w:name w:val="样式1"/>
    <w:basedOn w:val="1"/>
    <w:qFormat/>
    <w:uiPriority w:val="0"/>
    <w:pPr>
      <w:spacing w:line="460" w:lineRule="exact"/>
      <w:ind w:firstLine="560" w:firstLineChars="200"/>
    </w:pPr>
    <w:rPr>
      <w:rFonts w:eastAsia="仿宋_GB231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2363</Words>
  <Characters>13472</Characters>
  <Lines>112</Lines>
  <Paragraphs>31</Paragraphs>
  <TotalTime>6</TotalTime>
  <ScaleCrop>false</ScaleCrop>
  <LinksUpToDate>false</LinksUpToDate>
  <CharactersWithSpaces>15804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2022-09-17T10:50:00Z</dcterms:created>
  <dc:creator>李航 null</dc:creator>
  <cp:lastModifiedBy>唐星</cp:lastModifiedBy>
  <cp:lastPrinted>2022-07-29T20:55:00Z</cp:lastPrinted>
  <dcterms:modified xsi:type="dcterms:W3CDTF">2023-09-26T10:50:13Z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