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p>
    <w:p>
      <w:pPr>
        <w:jc w:val="center"/>
        <w:rPr>
          <w:sz w:val="52"/>
          <w:szCs w:val="52"/>
        </w:rPr>
      </w:pPr>
    </w:p>
    <w:p>
      <w:pPr>
        <w:jc w:val="center"/>
        <w:rPr>
          <w:sz w:val="52"/>
          <w:szCs w:val="52"/>
        </w:rPr>
      </w:pPr>
    </w:p>
    <w:p>
      <w:pPr>
        <w:jc w:val="center"/>
        <w:rPr>
          <w:sz w:val="52"/>
          <w:szCs w:val="52"/>
        </w:rPr>
      </w:pPr>
    </w:p>
    <w:p>
      <w:pPr>
        <w:jc w:val="center"/>
        <w:rPr>
          <w:sz w:val="52"/>
          <w:szCs w:val="52"/>
        </w:rPr>
      </w:pPr>
    </w:p>
    <w:p>
      <w:pPr>
        <w:jc w:val="center"/>
        <w:rPr>
          <w:sz w:val="52"/>
          <w:szCs w:val="52"/>
        </w:rPr>
      </w:pPr>
    </w:p>
    <w:p>
      <w:pPr>
        <w:jc w:val="center"/>
        <w:rPr>
          <w:sz w:val="52"/>
          <w:szCs w:val="52"/>
        </w:rPr>
      </w:pPr>
      <w:r>
        <w:rPr>
          <w:rFonts w:hint="eastAsia"/>
          <w:sz w:val="52"/>
          <w:szCs w:val="52"/>
        </w:rPr>
        <w:t>202</w:t>
      </w:r>
      <w:r>
        <w:rPr>
          <w:sz w:val="52"/>
          <w:szCs w:val="52"/>
        </w:rPr>
        <w:t>1</w:t>
      </w:r>
      <w:r>
        <w:rPr>
          <w:rFonts w:hint="eastAsia"/>
          <w:sz w:val="52"/>
          <w:szCs w:val="52"/>
        </w:rPr>
        <w:t>年度</w:t>
      </w:r>
    </w:p>
    <w:p>
      <w:pPr>
        <w:jc w:val="center"/>
        <w:rPr>
          <w:sz w:val="52"/>
          <w:szCs w:val="52"/>
        </w:rPr>
      </w:pPr>
      <w:r>
        <w:rPr>
          <w:rFonts w:hint="eastAsia"/>
          <w:sz w:val="52"/>
          <w:szCs w:val="52"/>
        </w:rPr>
        <w:t>湖南省林业局宣传中心</w:t>
      </w:r>
    </w:p>
    <w:p>
      <w:pPr>
        <w:jc w:val="center"/>
        <w:rPr>
          <w:sz w:val="52"/>
          <w:szCs w:val="52"/>
        </w:rPr>
      </w:pPr>
      <w:r>
        <w:rPr>
          <w:rFonts w:hint="eastAsia"/>
          <w:sz w:val="52"/>
          <w:szCs w:val="52"/>
        </w:rPr>
        <w:t>部门决算</w:t>
      </w:r>
    </w:p>
    <w:p/>
    <w:p/>
    <w:p/>
    <w:p/>
    <w:p/>
    <w:p/>
    <w:p/>
    <w:p/>
    <w:p/>
    <w:p/>
    <w:p/>
    <w:p/>
    <w:p/>
    <w:p/>
    <w:p/>
    <w:p/>
    <w:p/>
    <w:p/>
    <w:p/>
    <w:p/>
    <w:p>
      <w:pPr>
        <w:jc w:val="center"/>
        <w:rPr>
          <w:sz w:val="32"/>
          <w:szCs w:val="32"/>
        </w:rPr>
      </w:pPr>
      <w:r>
        <w:rPr>
          <w:rFonts w:hint="eastAsia"/>
          <w:sz w:val="32"/>
          <w:szCs w:val="32"/>
        </w:rPr>
        <w:t>目录</w:t>
      </w:r>
    </w:p>
    <w:p>
      <w:pPr>
        <w:rPr>
          <w:sz w:val="32"/>
          <w:szCs w:val="32"/>
        </w:rPr>
      </w:pPr>
    </w:p>
    <w:p>
      <w:pPr>
        <w:rPr>
          <w:sz w:val="32"/>
          <w:szCs w:val="32"/>
        </w:rPr>
      </w:pPr>
      <w:r>
        <w:rPr>
          <w:rFonts w:hint="eastAsia"/>
          <w:sz w:val="32"/>
          <w:szCs w:val="32"/>
        </w:rPr>
        <w:t>第一部分 湖南省林业局宣传中心概况</w:t>
      </w:r>
    </w:p>
    <w:p>
      <w:pPr>
        <w:rPr>
          <w:sz w:val="32"/>
          <w:szCs w:val="32"/>
        </w:rPr>
      </w:pPr>
      <w:r>
        <w:rPr>
          <w:rFonts w:hint="eastAsia"/>
          <w:sz w:val="32"/>
          <w:szCs w:val="32"/>
        </w:rPr>
        <w:t>一、部门职责</w:t>
      </w:r>
    </w:p>
    <w:p>
      <w:pPr>
        <w:rPr>
          <w:sz w:val="32"/>
          <w:szCs w:val="32"/>
        </w:rPr>
      </w:pPr>
      <w:r>
        <w:rPr>
          <w:rFonts w:hint="eastAsia"/>
          <w:sz w:val="32"/>
          <w:szCs w:val="32"/>
        </w:rPr>
        <w:t>二、机构设置</w:t>
      </w:r>
    </w:p>
    <w:p>
      <w:pPr>
        <w:rPr>
          <w:sz w:val="32"/>
          <w:szCs w:val="32"/>
        </w:rPr>
      </w:pPr>
      <w:r>
        <w:rPr>
          <w:rFonts w:hint="eastAsia"/>
          <w:sz w:val="32"/>
          <w:szCs w:val="32"/>
        </w:rPr>
        <w:t>第二部分 202</w:t>
      </w:r>
      <w:r>
        <w:rPr>
          <w:sz w:val="32"/>
          <w:szCs w:val="32"/>
        </w:rPr>
        <w:t>1</w:t>
      </w:r>
      <w:r>
        <w:rPr>
          <w:rFonts w:hint="eastAsia"/>
          <w:sz w:val="32"/>
          <w:szCs w:val="32"/>
        </w:rPr>
        <w:t>年度部门决算表</w:t>
      </w:r>
    </w:p>
    <w:p>
      <w:pPr>
        <w:rPr>
          <w:sz w:val="32"/>
          <w:szCs w:val="32"/>
        </w:rPr>
      </w:pPr>
      <w:r>
        <w:rPr>
          <w:rFonts w:hint="eastAsia"/>
          <w:sz w:val="32"/>
          <w:szCs w:val="32"/>
        </w:rPr>
        <w:t>一、收入支出决算总表</w:t>
      </w:r>
    </w:p>
    <w:p>
      <w:pPr>
        <w:rPr>
          <w:sz w:val="32"/>
          <w:szCs w:val="32"/>
        </w:rPr>
      </w:pPr>
      <w:r>
        <w:rPr>
          <w:rFonts w:hint="eastAsia"/>
          <w:sz w:val="32"/>
          <w:szCs w:val="32"/>
        </w:rPr>
        <w:t>二、收入决算表</w:t>
      </w:r>
    </w:p>
    <w:p>
      <w:pPr>
        <w:rPr>
          <w:sz w:val="32"/>
          <w:szCs w:val="32"/>
        </w:rPr>
      </w:pPr>
      <w:r>
        <w:rPr>
          <w:rFonts w:hint="eastAsia"/>
          <w:sz w:val="32"/>
          <w:szCs w:val="32"/>
        </w:rPr>
        <w:t>三、支出决算表</w:t>
      </w:r>
    </w:p>
    <w:p>
      <w:pPr>
        <w:rPr>
          <w:sz w:val="32"/>
          <w:szCs w:val="32"/>
        </w:rPr>
      </w:pPr>
      <w:r>
        <w:rPr>
          <w:rFonts w:hint="eastAsia"/>
          <w:sz w:val="32"/>
          <w:szCs w:val="32"/>
        </w:rPr>
        <w:t>四、财政拨款收入支出决算总表</w:t>
      </w:r>
    </w:p>
    <w:p>
      <w:pPr>
        <w:rPr>
          <w:sz w:val="32"/>
          <w:szCs w:val="32"/>
        </w:rPr>
      </w:pPr>
      <w:r>
        <w:rPr>
          <w:rFonts w:hint="eastAsia"/>
          <w:sz w:val="32"/>
          <w:szCs w:val="32"/>
        </w:rPr>
        <w:t>五、一般公共预算财政拨款支出决算表</w:t>
      </w:r>
    </w:p>
    <w:p>
      <w:pPr>
        <w:rPr>
          <w:sz w:val="32"/>
          <w:szCs w:val="32"/>
        </w:rPr>
      </w:pPr>
      <w:r>
        <w:rPr>
          <w:rFonts w:hint="eastAsia"/>
          <w:sz w:val="32"/>
          <w:szCs w:val="32"/>
        </w:rPr>
        <w:t>六、一般公共预算财政拨款基本支出决算明细表</w:t>
      </w:r>
    </w:p>
    <w:p>
      <w:pPr>
        <w:rPr>
          <w:sz w:val="32"/>
          <w:szCs w:val="32"/>
        </w:rPr>
      </w:pPr>
      <w:r>
        <w:rPr>
          <w:rFonts w:hint="eastAsia"/>
          <w:sz w:val="32"/>
          <w:szCs w:val="32"/>
        </w:rPr>
        <w:t>七、一般公共预算财政拨款“三公”经费支岀决算表</w:t>
      </w:r>
    </w:p>
    <w:p>
      <w:pPr>
        <w:rPr>
          <w:sz w:val="32"/>
          <w:szCs w:val="32"/>
        </w:rPr>
      </w:pPr>
      <w:r>
        <w:rPr>
          <w:rFonts w:hint="eastAsia"/>
          <w:sz w:val="32"/>
          <w:szCs w:val="32"/>
        </w:rPr>
        <w:t>八、政府性基金预算财政拨款收入支出决算表</w:t>
      </w:r>
    </w:p>
    <w:p>
      <w:pPr>
        <w:rPr>
          <w:sz w:val="32"/>
          <w:szCs w:val="32"/>
        </w:rPr>
      </w:pPr>
      <w:r>
        <w:rPr>
          <w:rFonts w:hint="eastAsia"/>
          <w:sz w:val="32"/>
          <w:szCs w:val="32"/>
        </w:rPr>
        <w:t>九、国有资本经营预算财政拨款支出决算表</w:t>
      </w:r>
    </w:p>
    <w:p>
      <w:pPr>
        <w:rPr>
          <w:sz w:val="32"/>
          <w:szCs w:val="32"/>
        </w:rPr>
      </w:pPr>
      <w:r>
        <w:rPr>
          <w:rFonts w:hint="eastAsia"/>
          <w:sz w:val="32"/>
          <w:szCs w:val="32"/>
        </w:rPr>
        <w:t>第三部分 202</w:t>
      </w:r>
      <w:r>
        <w:rPr>
          <w:sz w:val="32"/>
          <w:szCs w:val="32"/>
        </w:rPr>
        <w:t>1</w:t>
      </w:r>
      <w:r>
        <w:rPr>
          <w:rFonts w:hint="eastAsia"/>
          <w:sz w:val="32"/>
          <w:szCs w:val="32"/>
        </w:rPr>
        <w:t>年度部门决算情况说明</w:t>
      </w:r>
    </w:p>
    <w:p>
      <w:pPr>
        <w:rPr>
          <w:sz w:val="32"/>
          <w:szCs w:val="32"/>
        </w:rPr>
      </w:pPr>
      <w:r>
        <w:rPr>
          <w:rFonts w:hint="eastAsia"/>
          <w:sz w:val="32"/>
          <w:szCs w:val="32"/>
        </w:rPr>
        <w:t>一、收入支出决算总体情况说明</w:t>
      </w:r>
    </w:p>
    <w:p>
      <w:pPr>
        <w:rPr>
          <w:sz w:val="32"/>
          <w:szCs w:val="32"/>
        </w:rPr>
      </w:pPr>
      <w:r>
        <w:rPr>
          <w:rFonts w:hint="eastAsia"/>
          <w:sz w:val="32"/>
          <w:szCs w:val="32"/>
        </w:rPr>
        <w:t>二、收入决算情况说明</w:t>
      </w:r>
    </w:p>
    <w:p>
      <w:pPr>
        <w:rPr>
          <w:sz w:val="32"/>
          <w:szCs w:val="32"/>
        </w:rPr>
      </w:pPr>
      <w:r>
        <w:rPr>
          <w:rFonts w:hint="eastAsia"/>
          <w:sz w:val="32"/>
          <w:szCs w:val="32"/>
        </w:rPr>
        <w:t>三、支出决算情况说明</w:t>
      </w:r>
    </w:p>
    <w:p>
      <w:pPr>
        <w:rPr>
          <w:sz w:val="32"/>
          <w:szCs w:val="32"/>
        </w:rPr>
      </w:pPr>
      <w:r>
        <w:rPr>
          <w:rFonts w:hint="eastAsia"/>
          <w:sz w:val="32"/>
          <w:szCs w:val="32"/>
        </w:rPr>
        <w:t>四、财政拨款收入支出决算总体情况说明</w:t>
      </w:r>
    </w:p>
    <w:p>
      <w:pPr>
        <w:rPr>
          <w:sz w:val="32"/>
          <w:szCs w:val="32"/>
        </w:rPr>
      </w:pPr>
      <w:r>
        <w:rPr>
          <w:rFonts w:hint="eastAsia"/>
          <w:sz w:val="32"/>
          <w:szCs w:val="32"/>
        </w:rPr>
        <w:t>五、一般公共预算财政拨款支出决算情况说明</w:t>
      </w:r>
    </w:p>
    <w:p>
      <w:pPr>
        <w:rPr>
          <w:sz w:val="32"/>
          <w:szCs w:val="32"/>
        </w:rPr>
      </w:pPr>
      <w:r>
        <w:rPr>
          <w:rFonts w:hint="eastAsia"/>
          <w:sz w:val="32"/>
          <w:szCs w:val="32"/>
        </w:rPr>
        <w:t>六、一般公共预算财政拨款基本支出决算情况说明</w:t>
      </w:r>
    </w:p>
    <w:p>
      <w:pPr>
        <w:rPr>
          <w:sz w:val="32"/>
          <w:szCs w:val="32"/>
        </w:rPr>
      </w:pPr>
      <w:r>
        <w:rPr>
          <w:rFonts w:hint="eastAsia"/>
          <w:sz w:val="32"/>
          <w:szCs w:val="32"/>
        </w:rPr>
        <w:t>七、一般公共预算财政拨款“三公”经费支出决算情况说明</w:t>
      </w:r>
    </w:p>
    <w:p>
      <w:pPr>
        <w:rPr>
          <w:sz w:val="32"/>
          <w:szCs w:val="32"/>
        </w:rPr>
      </w:pPr>
      <w:r>
        <w:rPr>
          <w:rFonts w:hint="eastAsia"/>
          <w:sz w:val="32"/>
          <w:szCs w:val="32"/>
        </w:rPr>
        <w:t>八、政府性基金预算收入支出决算情况</w:t>
      </w:r>
    </w:p>
    <w:p>
      <w:pPr>
        <w:rPr>
          <w:sz w:val="32"/>
          <w:szCs w:val="32"/>
        </w:rPr>
      </w:pPr>
      <w:r>
        <w:rPr>
          <w:rFonts w:hint="eastAsia"/>
          <w:sz w:val="32"/>
          <w:szCs w:val="32"/>
        </w:rPr>
        <w:t>九、机关运行经费支出说明</w:t>
      </w:r>
    </w:p>
    <w:p>
      <w:pPr>
        <w:rPr>
          <w:sz w:val="32"/>
          <w:szCs w:val="32"/>
        </w:rPr>
      </w:pPr>
      <w:r>
        <w:rPr>
          <w:rFonts w:hint="eastAsia"/>
          <w:sz w:val="32"/>
          <w:szCs w:val="32"/>
        </w:rPr>
        <w:t>十、一般性支出情况说明</w:t>
      </w:r>
    </w:p>
    <w:p>
      <w:pPr>
        <w:rPr>
          <w:sz w:val="32"/>
          <w:szCs w:val="32"/>
        </w:rPr>
      </w:pPr>
      <w:r>
        <w:rPr>
          <w:rFonts w:hint="eastAsia"/>
          <w:sz w:val="32"/>
          <w:szCs w:val="32"/>
        </w:rPr>
        <w:t>十一、政府采购支出说明</w:t>
      </w:r>
    </w:p>
    <w:p>
      <w:pPr>
        <w:rPr>
          <w:sz w:val="32"/>
          <w:szCs w:val="32"/>
        </w:rPr>
      </w:pPr>
      <w:r>
        <w:rPr>
          <w:rFonts w:hint="eastAsia"/>
          <w:sz w:val="32"/>
          <w:szCs w:val="32"/>
        </w:rPr>
        <w:t>十二、国有资产占用情况说明</w:t>
      </w:r>
    </w:p>
    <w:p>
      <w:pPr>
        <w:rPr>
          <w:sz w:val="32"/>
          <w:szCs w:val="32"/>
        </w:rPr>
      </w:pPr>
      <w:r>
        <w:rPr>
          <w:rFonts w:hint="eastAsia"/>
          <w:sz w:val="32"/>
          <w:szCs w:val="32"/>
        </w:rPr>
        <w:t>十三、202</w:t>
      </w:r>
      <w:r>
        <w:rPr>
          <w:sz w:val="32"/>
          <w:szCs w:val="32"/>
        </w:rPr>
        <w:t>1</w:t>
      </w:r>
      <w:r>
        <w:rPr>
          <w:rFonts w:hint="eastAsia"/>
          <w:sz w:val="32"/>
          <w:szCs w:val="32"/>
        </w:rPr>
        <w:t>年度预算绩效情况的说明</w:t>
      </w:r>
    </w:p>
    <w:p>
      <w:pPr>
        <w:rPr>
          <w:sz w:val="32"/>
          <w:szCs w:val="32"/>
        </w:rPr>
      </w:pPr>
      <w:r>
        <w:rPr>
          <w:rFonts w:hint="eastAsia"/>
          <w:sz w:val="32"/>
          <w:szCs w:val="32"/>
        </w:rPr>
        <w:t>第四部分 名词解释</w:t>
      </w:r>
    </w:p>
    <w:p>
      <w:pPr>
        <w:rPr>
          <w:sz w:val="32"/>
          <w:szCs w:val="32"/>
        </w:rPr>
      </w:pPr>
      <w:r>
        <w:rPr>
          <w:rFonts w:hint="eastAsia"/>
          <w:sz w:val="32"/>
          <w:szCs w:val="32"/>
        </w:rPr>
        <w:t>第五部分 附件</w:t>
      </w:r>
    </w:p>
    <w:p/>
    <w:p/>
    <w:p/>
    <w:p/>
    <w:p/>
    <w:p/>
    <w:p/>
    <w:p/>
    <w:p/>
    <w:p/>
    <w:p/>
    <w:p/>
    <w:p/>
    <w:p/>
    <w:p/>
    <w:p/>
    <w:p/>
    <w:p/>
    <w:p/>
    <w:p/>
    <w:p/>
    <w:p/>
    <w:p/>
    <w:p/>
    <w:p/>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第一部分</w:t>
      </w:r>
    </w:p>
    <w:p>
      <w:pPr>
        <w:jc w:val="center"/>
        <w:rPr>
          <w:sz w:val="36"/>
          <w:szCs w:val="36"/>
        </w:rPr>
      </w:pPr>
    </w:p>
    <w:p>
      <w:pPr>
        <w:jc w:val="center"/>
        <w:rPr>
          <w:sz w:val="36"/>
          <w:szCs w:val="36"/>
        </w:rPr>
      </w:pPr>
      <w:r>
        <w:rPr>
          <w:rFonts w:hint="eastAsia"/>
          <w:sz w:val="36"/>
          <w:szCs w:val="36"/>
        </w:rPr>
        <w:t>湖南省林业局宣传中心概况</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
      <w:pPr>
        <w:ind w:firstLine="640" w:firstLineChars="200"/>
        <w:rPr>
          <w:sz w:val="32"/>
          <w:szCs w:val="32"/>
        </w:rPr>
      </w:pPr>
      <w:r>
        <w:rPr>
          <w:rFonts w:hint="eastAsia"/>
          <w:sz w:val="32"/>
          <w:szCs w:val="32"/>
        </w:rPr>
        <w:t>一、部门职责</w:t>
      </w:r>
    </w:p>
    <w:p>
      <w:pPr>
        <w:ind w:firstLine="640" w:firstLineChars="200"/>
        <w:rPr>
          <w:rFonts w:ascii="仿宋_GB2312" w:hAnsi="仿宋_GB2312" w:eastAsia="仿宋_GB2312" w:cs="仿宋_GB2312"/>
          <w:sz w:val="32"/>
          <w:szCs w:val="32"/>
        </w:rPr>
      </w:pPr>
      <w:r>
        <w:rPr>
          <w:rFonts w:hint="eastAsia"/>
          <w:sz w:val="32"/>
          <w:szCs w:val="32"/>
        </w:rPr>
        <w:t>湖南省林业局宣传中心主要负责全省林业宣传，生态文化建设，涉林舆情监控与处置等工作</w:t>
      </w:r>
      <w:r>
        <w:rPr>
          <w:rFonts w:hint="eastAsia" w:ascii="仿宋_GB2312" w:hAnsi="仿宋_GB2312" w:eastAsia="仿宋_GB2312" w:cs="仿宋_GB2312"/>
          <w:sz w:val="32"/>
          <w:szCs w:val="32"/>
        </w:rPr>
        <w:t>。</w:t>
      </w:r>
    </w:p>
    <w:p>
      <w:pPr>
        <w:ind w:firstLine="640" w:firstLineChars="200"/>
        <w:rPr>
          <w:sz w:val="32"/>
          <w:szCs w:val="32"/>
        </w:rPr>
      </w:pPr>
      <w:r>
        <w:rPr>
          <w:rFonts w:hint="eastAsia"/>
          <w:sz w:val="32"/>
          <w:szCs w:val="32"/>
        </w:rPr>
        <w:t>二、机构设置及决算单位构成</w:t>
      </w:r>
    </w:p>
    <w:p>
      <w:pPr>
        <w:ind w:firstLine="640" w:firstLineChars="200"/>
        <w:rPr>
          <w:sz w:val="32"/>
          <w:szCs w:val="32"/>
        </w:rPr>
      </w:pPr>
      <w:r>
        <w:rPr>
          <w:rFonts w:hint="eastAsia"/>
          <w:sz w:val="32"/>
          <w:szCs w:val="32"/>
        </w:rPr>
        <w:t xml:space="preserve">（一）内设机构设置。湖南省林业局宣传中心无内设机构。 </w:t>
      </w:r>
      <w:r>
        <w:rPr>
          <w:sz w:val="32"/>
          <w:szCs w:val="32"/>
        </w:rPr>
        <w:t xml:space="preserve">   </w:t>
      </w:r>
    </w:p>
    <w:p>
      <w:pPr>
        <w:widowControl/>
        <w:spacing w:line="600" w:lineRule="exact"/>
        <w:ind w:firstLine="627" w:firstLineChars="196"/>
        <w:rPr>
          <w:sz w:val="32"/>
          <w:szCs w:val="32"/>
        </w:rPr>
      </w:pPr>
      <w:r>
        <w:rPr>
          <w:rFonts w:hint="eastAsia" w:asciiTheme="minorEastAsia" w:hAnsiTheme="minorEastAsia"/>
          <w:bCs/>
          <w:kern w:val="0"/>
          <w:sz w:val="32"/>
          <w:szCs w:val="32"/>
        </w:rPr>
        <w:t>（二）决算单位构成。</w:t>
      </w:r>
      <w:r>
        <w:rPr>
          <w:rFonts w:hint="eastAsia"/>
          <w:sz w:val="32"/>
          <w:szCs w:val="32"/>
        </w:rPr>
        <w:t>湖南省林业局宣传中心2</w:t>
      </w:r>
      <w:r>
        <w:rPr>
          <w:sz w:val="32"/>
          <w:szCs w:val="32"/>
        </w:rPr>
        <w:t>021年部门决算公开</w:t>
      </w:r>
      <w:r>
        <w:rPr>
          <w:rFonts w:hint="eastAsia"/>
          <w:sz w:val="32"/>
          <w:szCs w:val="32"/>
        </w:rPr>
        <w:t>单位构成包括湖南省林业局宣传中心本级，无下属三级预算单位。</w:t>
      </w: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第二部分</w:t>
      </w:r>
    </w:p>
    <w:p>
      <w:pPr>
        <w:jc w:val="center"/>
        <w:rPr>
          <w:sz w:val="36"/>
          <w:szCs w:val="36"/>
        </w:rPr>
      </w:pPr>
    </w:p>
    <w:p>
      <w:pPr>
        <w:jc w:val="center"/>
        <w:rPr>
          <w:sz w:val="36"/>
          <w:szCs w:val="36"/>
        </w:rPr>
      </w:pPr>
      <w:r>
        <w:rPr>
          <w:rFonts w:hint="eastAsia"/>
          <w:sz w:val="36"/>
          <w:szCs w:val="36"/>
        </w:rPr>
        <w:t>部门决算表</w:t>
      </w: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sectPr>
          <w:pgSz w:w="11906" w:h="16838"/>
          <w:pgMar w:top="1440" w:right="1800" w:bottom="1440" w:left="1800" w:header="851" w:footer="992" w:gutter="0"/>
          <w:cols w:space="425" w:num="1"/>
          <w:docGrid w:type="lines" w:linePitch="312" w:charSpace="0"/>
        </w:sectPr>
      </w:pPr>
    </w:p>
    <w:p>
      <w:pPr>
        <w:rPr>
          <w:sz w:val="32"/>
          <w:szCs w:val="32"/>
        </w:rPr>
      </w:pPr>
    </w:p>
    <w:p>
      <w:pPr>
        <w:jc w:val="center"/>
        <w:rPr>
          <w:sz w:val="32"/>
          <w:szCs w:val="32"/>
        </w:rPr>
      </w:pPr>
      <w:r>
        <w:rPr>
          <w:rFonts w:hint="eastAsia"/>
          <w:sz w:val="32"/>
          <w:szCs w:val="32"/>
        </w:rPr>
        <w:t>收入支出决算总表</w:t>
      </w:r>
    </w:p>
    <w:tbl>
      <w:tblPr>
        <w:tblStyle w:val="5"/>
        <w:tblW w:w="4998" w:type="pct"/>
        <w:tblInd w:w="0" w:type="dxa"/>
        <w:shd w:val="clear" w:color="auto" w:fill="FFFFFF" w:themeFill="background1"/>
        <w:tblLayout w:type="autofit"/>
        <w:tblCellMar>
          <w:top w:w="0" w:type="dxa"/>
          <w:left w:w="108" w:type="dxa"/>
          <w:bottom w:w="0" w:type="dxa"/>
          <w:right w:w="108" w:type="dxa"/>
        </w:tblCellMar>
      </w:tblPr>
      <w:tblGrid>
        <w:gridCol w:w="4920"/>
        <w:gridCol w:w="1108"/>
        <w:gridCol w:w="1522"/>
        <w:gridCol w:w="3534"/>
        <w:gridCol w:w="842"/>
        <w:gridCol w:w="2242"/>
      </w:tblGrid>
      <w:tr>
        <w:tblPrEx>
          <w:tblCellMar>
            <w:top w:w="0" w:type="dxa"/>
            <w:left w:w="108" w:type="dxa"/>
            <w:bottom w:w="0" w:type="dxa"/>
            <w:right w:w="108" w:type="dxa"/>
          </w:tblCellMar>
        </w:tblPrEx>
        <w:trPr>
          <w:trHeight w:val="300" w:hRule="atLeast"/>
        </w:trPr>
        <w:tc>
          <w:tcPr>
            <w:tcW w:w="1736"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536"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1247"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297"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789" w:type="pct"/>
            <w:tcBorders>
              <w:top w:val="nil"/>
              <w:left w:val="nil"/>
              <w:bottom w:val="nil"/>
              <w:right w:val="nil"/>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公开01表</w:t>
            </w:r>
          </w:p>
        </w:tc>
      </w:tr>
      <w:tr>
        <w:tblPrEx>
          <w:tblCellMar>
            <w:top w:w="0" w:type="dxa"/>
            <w:left w:w="108" w:type="dxa"/>
            <w:bottom w:w="0" w:type="dxa"/>
            <w:right w:w="108" w:type="dxa"/>
          </w:tblCellMar>
        </w:tblPrEx>
        <w:trPr>
          <w:trHeight w:val="300" w:hRule="atLeast"/>
        </w:trPr>
        <w:tc>
          <w:tcPr>
            <w:tcW w:w="1736" w:type="pct"/>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部门：湖南省林业局宣传中心</w:t>
            </w:r>
          </w:p>
        </w:tc>
        <w:tc>
          <w:tcPr>
            <w:tcW w:w="391"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536" w:type="pct"/>
            <w:tcBorders>
              <w:top w:val="nil"/>
              <w:left w:val="nil"/>
              <w:bottom w:val="nil"/>
              <w:right w:val="nil"/>
            </w:tcBorders>
            <w:shd w:val="clear" w:color="auto" w:fill="FFFFFF" w:themeFill="background1"/>
            <w:vAlign w:val="center"/>
          </w:tcPr>
          <w:p>
            <w:pPr>
              <w:widowControl/>
              <w:jc w:val="center"/>
              <w:textAlignment w:val="center"/>
              <w:rPr>
                <w:rFonts w:ascii="宋体" w:hAnsi="宋体" w:eastAsia="宋体" w:cs="宋体"/>
                <w:color w:val="000000"/>
                <w:sz w:val="16"/>
                <w:szCs w:val="16"/>
              </w:rPr>
            </w:pPr>
          </w:p>
        </w:tc>
        <w:tc>
          <w:tcPr>
            <w:tcW w:w="1247"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297" w:type="pct"/>
            <w:tcBorders>
              <w:top w:val="nil"/>
              <w:left w:val="nil"/>
              <w:bottom w:val="nil"/>
              <w:right w:val="nil"/>
            </w:tcBorders>
            <w:shd w:val="clear" w:color="auto" w:fill="FFFFFF" w:themeFill="background1"/>
            <w:vAlign w:val="center"/>
          </w:tcPr>
          <w:p>
            <w:pPr>
              <w:jc w:val="left"/>
              <w:rPr>
                <w:rFonts w:ascii="宋体" w:hAnsi="宋体" w:eastAsia="宋体" w:cs="宋体"/>
                <w:color w:val="000000"/>
                <w:sz w:val="16"/>
                <w:szCs w:val="16"/>
              </w:rPr>
            </w:pPr>
          </w:p>
        </w:tc>
        <w:tc>
          <w:tcPr>
            <w:tcW w:w="789" w:type="pct"/>
            <w:tcBorders>
              <w:top w:val="nil"/>
              <w:left w:val="nil"/>
              <w:bottom w:val="nil"/>
              <w:right w:val="nil"/>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单位：万元</w:t>
            </w:r>
          </w:p>
        </w:tc>
      </w:tr>
      <w:tr>
        <w:tblPrEx>
          <w:tblCellMar>
            <w:top w:w="0" w:type="dxa"/>
            <w:left w:w="108" w:type="dxa"/>
            <w:bottom w:w="0" w:type="dxa"/>
            <w:right w:w="108" w:type="dxa"/>
          </w:tblCellMar>
        </w:tblPrEx>
        <w:trPr>
          <w:trHeight w:val="300" w:hRule="atLeast"/>
        </w:trPr>
        <w:tc>
          <w:tcPr>
            <w:tcW w:w="2664"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收入</w:t>
            </w:r>
          </w:p>
        </w:tc>
        <w:tc>
          <w:tcPr>
            <w:tcW w:w="2335"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支出</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行次</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金额</w:t>
            </w: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行次</w:t>
            </w: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金额</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391" w:type="pct"/>
            <w:tcBorders>
              <w:top w:val="nil"/>
              <w:left w:val="nil"/>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297" w:type="pct"/>
            <w:tcBorders>
              <w:top w:val="nil"/>
              <w:left w:val="nil"/>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一、一般公共预算财政拨款收入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265.45</w:t>
            </w: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一、一般公共服务支出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32</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二、政府性基金预算财政拨款收入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二、外交支出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33</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三、国有资本经营预算财政拨款收入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三、国防支出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34</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四、上级补助收入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四、公共安全支出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35</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五、事业收入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五、教育支出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36</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六、经营收入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六、科学技术支出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37</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七、附属单位上缴收入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7</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七、文化旅游体育与传媒支出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38</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八、其他收入</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8</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八、社会保障和就业支出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39</w:t>
            </w: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3.66</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9</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九、卫生健康支出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40</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r>
              <w:rPr>
                <w:rFonts w:ascii="宋体" w:hAnsi="宋体" w:eastAsia="宋体" w:cs="宋体"/>
                <w:color w:val="000000"/>
                <w:sz w:val="16"/>
                <w:szCs w:val="16"/>
              </w:rPr>
              <w:t>3.05</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10</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十、节能环保支出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41</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11</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十一、城乡社区支出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42</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12</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十二、农林水支出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43</w:t>
            </w: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221.16</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13</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十三、交通运输支出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44</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14</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十四、资源勘探工业信息等支出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45</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15</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十五、商业服务业等支出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46</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16</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十六、金融支出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47</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17</w:t>
            </w:r>
          </w:p>
        </w:tc>
        <w:tc>
          <w:tcPr>
            <w:tcW w:w="53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十七、援助其他地区支出</w:t>
            </w:r>
          </w:p>
        </w:tc>
        <w:tc>
          <w:tcPr>
            <w:tcW w:w="29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48</w:t>
            </w:r>
          </w:p>
        </w:tc>
        <w:tc>
          <w:tcPr>
            <w:tcW w:w="78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18</w:t>
            </w:r>
          </w:p>
        </w:tc>
        <w:tc>
          <w:tcPr>
            <w:tcW w:w="536" w:type="pct"/>
            <w:tcBorders>
              <w:top w:val="single" w:color="000000" w:sz="4" w:space="0"/>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十八、自然资源海洋气象等支出</w:t>
            </w:r>
          </w:p>
        </w:tc>
        <w:tc>
          <w:tcPr>
            <w:tcW w:w="297"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49</w:t>
            </w:r>
          </w:p>
        </w:tc>
        <w:tc>
          <w:tcPr>
            <w:tcW w:w="789" w:type="pct"/>
            <w:tcBorders>
              <w:top w:val="single" w:color="000000" w:sz="4" w:space="0"/>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19</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十九、住房保障支出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50</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20</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二十、粮油物资储备支出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51</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21</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二十一、国有资本经营预算支出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52</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22</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二十二、灾害防治及应急管理支出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53</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23</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二十三、其他支出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54</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24</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二十四、债务还本支出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55</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25</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二十五、债务付息支出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56</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26</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二十六、抗疫特别国债安排的支出</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57</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6"/>
                <w:szCs w:val="16"/>
              </w:rPr>
            </w:pPr>
            <w:r>
              <w:rPr>
                <w:rFonts w:hint="eastAsia" w:ascii="宋体" w:hAnsi="宋体" w:eastAsia="宋体" w:cs="宋体"/>
                <w:b/>
                <w:bCs/>
                <w:color w:val="000000"/>
                <w:kern w:val="0"/>
                <w:sz w:val="16"/>
                <w:szCs w:val="16"/>
                <w:lang w:bidi="ar"/>
              </w:rPr>
              <w:t>本年收入合计</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27</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265.45</w:t>
            </w: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6"/>
                <w:szCs w:val="16"/>
              </w:rPr>
            </w:pPr>
            <w:r>
              <w:rPr>
                <w:rFonts w:hint="eastAsia" w:ascii="宋体" w:hAnsi="宋体" w:eastAsia="宋体" w:cs="宋体"/>
                <w:b/>
                <w:bCs/>
                <w:color w:val="000000"/>
                <w:kern w:val="0"/>
                <w:sz w:val="16"/>
                <w:szCs w:val="16"/>
                <w:lang w:bidi="ar"/>
              </w:rPr>
              <w:t>本年支出合计</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58</w:t>
            </w: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227.87</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使用非财政拨款结余</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28</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结余分配</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59</w:t>
            </w: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年初结转和结余</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29</w:t>
            </w:r>
          </w:p>
        </w:tc>
        <w:tc>
          <w:tcPr>
            <w:tcW w:w="536"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1.32</w:t>
            </w:r>
          </w:p>
        </w:tc>
        <w:tc>
          <w:tcPr>
            <w:tcW w:w="124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年末结转和结余</w:t>
            </w: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60</w:t>
            </w:r>
          </w:p>
        </w:tc>
        <w:tc>
          <w:tcPr>
            <w:tcW w:w="789"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38.90</w:t>
            </w:r>
          </w:p>
        </w:tc>
      </w:tr>
      <w:tr>
        <w:tblPrEx>
          <w:tblCellMar>
            <w:top w:w="0" w:type="dxa"/>
            <w:left w:w="108" w:type="dxa"/>
            <w:bottom w:w="0" w:type="dxa"/>
            <w:right w:w="108" w:type="dxa"/>
          </w:tblCellMar>
        </w:tblPrEx>
        <w:trPr>
          <w:trHeight w:val="300" w:hRule="atLeast"/>
        </w:trPr>
        <w:tc>
          <w:tcPr>
            <w:tcW w:w="1736"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w:t>
            </w:r>
          </w:p>
        </w:tc>
        <w:tc>
          <w:tcPr>
            <w:tcW w:w="536"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1247"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297" w:type="pct"/>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61</w:t>
            </w:r>
          </w:p>
        </w:tc>
        <w:tc>
          <w:tcPr>
            <w:tcW w:w="789"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73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6"/>
                <w:szCs w:val="16"/>
              </w:rPr>
            </w:pPr>
            <w:r>
              <w:rPr>
                <w:rFonts w:hint="eastAsia" w:ascii="宋体" w:hAnsi="宋体" w:eastAsia="宋体" w:cs="宋体"/>
                <w:b/>
                <w:bCs/>
                <w:color w:val="000000"/>
                <w:kern w:val="0"/>
                <w:sz w:val="16"/>
                <w:szCs w:val="16"/>
                <w:lang w:bidi="ar"/>
              </w:rPr>
              <w:t>总计</w:t>
            </w:r>
          </w:p>
        </w:tc>
        <w:tc>
          <w:tcPr>
            <w:tcW w:w="391"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w:t>
            </w:r>
          </w:p>
        </w:tc>
        <w:tc>
          <w:tcPr>
            <w:tcW w:w="53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266.77</w:t>
            </w:r>
          </w:p>
        </w:tc>
        <w:tc>
          <w:tcPr>
            <w:tcW w:w="124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6"/>
                <w:szCs w:val="16"/>
              </w:rPr>
            </w:pPr>
            <w:r>
              <w:rPr>
                <w:rFonts w:hint="eastAsia" w:ascii="宋体" w:hAnsi="宋体" w:eastAsia="宋体" w:cs="宋体"/>
                <w:b/>
                <w:bCs/>
                <w:color w:val="000000"/>
                <w:kern w:val="0"/>
                <w:sz w:val="16"/>
                <w:szCs w:val="16"/>
                <w:lang w:bidi="ar"/>
              </w:rPr>
              <w:t>总计</w:t>
            </w:r>
          </w:p>
        </w:tc>
        <w:tc>
          <w:tcPr>
            <w:tcW w:w="29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62</w:t>
            </w:r>
          </w:p>
        </w:tc>
        <w:tc>
          <w:tcPr>
            <w:tcW w:w="78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266.77</w:t>
            </w:r>
          </w:p>
        </w:tc>
      </w:tr>
    </w:tbl>
    <w:p>
      <w:pPr>
        <w:rPr>
          <w:sz w:val="18"/>
          <w:szCs w:val="18"/>
        </w:rPr>
      </w:pPr>
      <w:r>
        <w:rPr>
          <w:rFonts w:hint="eastAsia"/>
          <w:sz w:val="18"/>
          <w:szCs w:val="18"/>
        </w:rPr>
        <w:t>注：1.本表反映部门本年度的总收支和年末结转结余情况。</w:t>
      </w:r>
    </w:p>
    <w:p>
      <w:pPr>
        <w:rPr>
          <w:sz w:val="18"/>
          <w:szCs w:val="18"/>
        </w:rPr>
      </w:pPr>
      <w:r>
        <w:rPr>
          <w:rFonts w:hint="eastAsia"/>
          <w:sz w:val="18"/>
          <w:szCs w:val="18"/>
        </w:rPr>
        <w:t xml:space="preserve"> 2.本套报表金额单位转换时可能存在尾数误差。</w:t>
      </w:r>
    </w:p>
    <w:p>
      <w:pPr>
        <w:rPr>
          <w:sz w:val="32"/>
          <w:szCs w:val="32"/>
        </w:rPr>
      </w:pPr>
    </w:p>
    <w:p>
      <w:pPr>
        <w:rPr>
          <w:sz w:val="32"/>
          <w:szCs w:val="32"/>
        </w:rPr>
      </w:pPr>
    </w:p>
    <w:p>
      <w:pPr>
        <w:rPr>
          <w:sz w:val="32"/>
          <w:szCs w:val="32"/>
        </w:rPr>
      </w:pPr>
    </w:p>
    <w:p>
      <w:pPr>
        <w:rPr>
          <w:sz w:val="32"/>
          <w:szCs w:val="32"/>
        </w:rPr>
      </w:pPr>
    </w:p>
    <w:p>
      <w:pPr>
        <w:jc w:val="center"/>
        <w:rPr>
          <w:sz w:val="32"/>
          <w:szCs w:val="32"/>
        </w:rPr>
      </w:pPr>
      <w:r>
        <w:rPr>
          <w:rFonts w:hint="eastAsia"/>
          <w:sz w:val="32"/>
          <w:szCs w:val="32"/>
        </w:rPr>
        <w:t>收入决算表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公开02表</w:t>
      </w:r>
    </w:p>
    <w:p>
      <w:pPr>
        <w:widowControl/>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部门：湖南省林业局宣传中心                                                                                                                                           单位：万元</w:t>
      </w:r>
    </w:p>
    <w:tbl>
      <w:tblPr>
        <w:tblStyle w:val="5"/>
        <w:tblW w:w="4998" w:type="pct"/>
        <w:tblInd w:w="0" w:type="dxa"/>
        <w:shd w:val="clear" w:color="auto" w:fill="FFFFFF" w:themeFill="background1"/>
        <w:tblLayout w:type="autofit"/>
        <w:tblCellMar>
          <w:top w:w="0" w:type="dxa"/>
          <w:left w:w="108" w:type="dxa"/>
          <w:bottom w:w="0" w:type="dxa"/>
          <w:right w:w="108" w:type="dxa"/>
        </w:tblCellMar>
      </w:tblPr>
      <w:tblGrid>
        <w:gridCol w:w="2039"/>
        <w:gridCol w:w="2292"/>
        <w:gridCol w:w="1539"/>
        <w:gridCol w:w="1539"/>
        <w:gridCol w:w="1380"/>
        <w:gridCol w:w="1403"/>
        <w:gridCol w:w="1411"/>
        <w:gridCol w:w="1012"/>
        <w:gridCol w:w="1553"/>
      </w:tblGrid>
      <w:tr>
        <w:tblPrEx>
          <w:tblCellMar>
            <w:top w:w="0" w:type="dxa"/>
            <w:left w:w="108" w:type="dxa"/>
            <w:bottom w:w="0" w:type="dxa"/>
            <w:right w:w="108" w:type="dxa"/>
          </w:tblCellMar>
        </w:tblPrEx>
        <w:trPr>
          <w:trHeight w:val="255"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54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本年收入合计</w:t>
            </w:r>
          </w:p>
        </w:tc>
        <w:tc>
          <w:tcPr>
            <w:tcW w:w="54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财政拨款收入</w:t>
            </w:r>
          </w:p>
        </w:tc>
        <w:tc>
          <w:tcPr>
            <w:tcW w:w="48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上级补助收入</w:t>
            </w:r>
          </w:p>
        </w:tc>
        <w:tc>
          <w:tcPr>
            <w:tcW w:w="49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事业收入</w:t>
            </w:r>
          </w:p>
        </w:tc>
        <w:tc>
          <w:tcPr>
            <w:tcW w:w="498"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经营收入</w:t>
            </w:r>
          </w:p>
        </w:tc>
        <w:tc>
          <w:tcPr>
            <w:tcW w:w="35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附属单位上缴收入</w:t>
            </w:r>
          </w:p>
        </w:tc>
        <w:tc>
          <w:tcPr>
            <w:tcW w:w="54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其他收入</w:t>
            </w:r>
          </w:p>
        </w:tc>
      </w:tr>
      <w:tr>
        <w:tblPrEx>
          <w:tblCellMar>
            <w:top w:w="0" w:type="dxa"/>
            <w:left w:w="108" w:type="dxa"/>
            <w:bottom w:w="0" w:type="dxa"/>
            <w:right w:w="108" w:type="dxa"/>
          </w:tblCellMar>
        </w:tblPrEx>
        <w:trPr>
          <w:trHeight w:val="312" w:hRule="atLeast"/>
        </w:trPr>
        <w:tc>
          <w:tcPr>
            <w:tcW w:w="72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功能分类科目编码</w:t>
            </w:r>
          </w:p>
        </w:tc>
        <w:tc>
          <w:tcPr>
            <w:tcW w:w="808"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9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98"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35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72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08"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9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98"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35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72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08"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9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98"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35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4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c>
          <w:tcPr>
            <w:tcW w:w="49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w:t>
            </w:r>
          </w:p>
        </w:tc>
        <w:tc>
          <w:tcPr>
            <w:tcW w:w="49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w:t>
            </w:r>
          </w:p>
        </w:tc>
        <w:tc>
          <w:tcPr>
            <w:tcW w:w="35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7</w:t>
            </w:r>
          </w:p>
        </w:tc>
      </w:tr>
      <w:tr>
        <w:tblPrEx>
          <w:tblCellMar>
            <w:top w:w="0" w:type="dxa"/>
            <w:left w:w="108" w:type="dxa"/>
            <w:bottom w:w="0" w:type="dxa"/>
            <w:right w:w="108" w:type="dxa"/>
          </w:tblCellMar>
        </w:tblPrEx>
        <w:trPr>
          <w:trHeight w:val="255"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265.45</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265.45</w:t>
            </w:r>
          </w:p>
        </w:tc>
        <w:tc>
          <w:tcPr>
            <w:tcW w:w="4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35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w:t>
            </w:r>
          </w:p>
        </w:tc>
        <w:tc>
          <w:tcPr>
            <w:tcW w:w="808"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社会保障和就业支出</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4.90</w:t>
            </w: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4.90</w:t>
            </w:r>
          </w:p>
        </w:tc>
        <w:tc>
          <w:tcPr>
            <w:tcW w:w="4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35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4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20805</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行政事业单位养老支出</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4.90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4.90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2080505</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机关事业单位基本养老保险缴费支出</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4.90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4.90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卫生健康支出</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3.70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3.70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21011</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行政事业单位医疗</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3.70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3.70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2101102</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事业单位医疗</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3.70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3.70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农林水支出</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256.85</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256.85</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林业和草原</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256.85</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256.85</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2130204</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事业机构</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131.85</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131.85</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2130205</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森林资源培育</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20.00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20.00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2130209</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森林生态效益补偿</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30.00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30.00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720" w:type="pct"/>
            <w:tcBorders>
              <w:top w:val="nil"/>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2130299</w:t>
            </w:r>
          </w:p>
        </w:tc>
        <w:tc>
          <w:tcPr>
            <w:tcW w:w="808" w:type="pct"/>
            <w:tcBorders>
              <w:top w:val="nil"/>
              <w:left w:val="nil"/>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其他林业和草原支出</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75.00</w:t>
            </w:r>
          </w:p>
        </w:tc>
        <w:tc>
          <w:tcPr>
            <w:tcW w:w="543" w:type="pct"/>
            <w:tcBorders>
              <w:top w:val="nil"/>
              <w:left w:val="nil"/>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75.00</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5"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98"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5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4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5000" w:type="pct"/>
            <w:gridSpan w:val="9"/>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注：本表反映部门本年度取得的各项收入情况。</w:t>
            </w:r>
          </w:p>
        </w:tc>
      </w:tr>
    </w:tbl>
    <w:p>
      <w:pPr>
        <w:rPr>
          <w:sz w:val="32"/>
          <w:szCs w:val="32"/>
        </w:rPr>
      </w:pPr>
    </w:p>
    <w:p>
      <w:pPr>
        <w:jc w:val="center"/>
        <w:rPr>
          <w:sz w:val="32"/>
          <w:szCs w:val="32"/>
        </w:rPr>
      </w:pPr>
      <w:r>
        <w:rPr>
          <w:rFonts w:hint="eastAsia"/>
          <w:sz w:val="32"/>
          <w:szCs w:val="32"/>
        </w:rPr>
        <w:t>支出决算表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公开03表</w:t>
      </w:r>
    </w:p>
    <w:p>
      <w:pPr>
        <w:widowControl/>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部门：湖南省林业局宣传中心                                                                                                                                           单位：万元</w:t>
      </w:r>
    </w:p>
    <w:tbl>
      <w:tblPr>
        <w:tblStyle w:val="5"/>
        <w:tblW w:w="4997" w:type="pct"/>
        <w:tblInd w:w="0" w:type="dxa"/>
        <w:shd w:val="clear" w:color="auto" w:fill="FFFFFF" w:themeFill="background1"/>
        <w:tblLayout w:type="autofit"/>
        <w:tblCellMar>
          <w:top w:w="0" w:type="dxa"/>
          <w:left w:w="108" w:type="dxa"/>
          <w:bottom w:w="0" w:type="dxa"/>
          <w:right w:w="108" w:type="dxa"/>
        </w:tblCellMar>
      </w:tblPr>
      <w:tblGrid>
        <w:gridCol w:w="1883"/>
        <w:gridCol w:w="2359"/>
        <w:gridCol w:w="1652"/>
        <w:gridCol w:w="1652"/>
        <w:gridCol w:w="1652"/>
        <w:gridCol w:w="1652"/>
        <w:gridCol w:w="1652"/>
        <w:gridCol w:w="1663"/>
      </w:tblGrid>
      <w:tr>
        <w:tblPrEx>
          <w:tblCellMar>
            <w:top w:w="0" w:type="dxa"/>
            <w:left w:w="108" w:type="dxa"/>
            <w:bottom w:w="0" w:type="dxa"/>
            <w:right w:w="108" w:type="dxa"/>
          </w:tblCellMar>
        </w:tblPrEx>
        <w:trPr>
          <w:trHeight w:val="255" w:hRule="atLeast"/>
        </w:trPr>
        <w:tc>
          <w:tcPr>
            <w:tcW w:w="1498"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58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本年支出合计</w:t>
            </w:r>
          </w:p>
        </w:tc>
        <w:tc>
          <w:tcPr>
            <w:tcW w:w="58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基本支出</w:t>
            </w:r>
          </w:p>
        </w:tc>
        <w:tc>
          <w:tcPr>
            <w:tcW w:w="58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项目支出</w:t>
            </w:r>
          </w:p>
        </w:tc>
        <w:tc>
          <w:tcPr>
            <w:tcW w:w="58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上缴上级支出</w:t>
            </w:r>
          </w:p>
        </w:tc>
        <w:tc>
          <w:tcPr>
            <w:tcW w:w="58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经营支出</w:t>
            </w:r>
          </w:p>
        </w:tc>
        <w:tc>
          <w:tcPr>
            <w:tcW w:w="586"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对附属单位补助支出</w:t>
            </w:r>
          </w:p>
        </w:tc>
      </w:tr>
      <w:tr>
        <w:tblPrEx>
          <w:tblCellMar>
            <w:top w:w="0" w:type="dxa"/>
            <w:left w:w="108" w:type="dxa"/>
            <w:bottom w:w="0" w:type="dxa"/>
            <w:right w:w="108" w:type="dxa"/>
          </w:tblCellMar>
        </w:tblPrEx>
        <w:trPr>
          <w:trHeight w:val="312" w:hRule="atLeast"/>
        </w:trPr>
        <w:tc>
          <w:tcPr>
            <w:tcW w:w="66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功能分类科目编码</w:t>
            </w:r>
          </w:p>
        </w:tc>
        <w:tc>
          <w:tcPr>
            <w:tcW w:w="83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66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66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8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1498"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w:t>
            </w: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w:t>
            </w:r>
          </w:p>
        </w:tc>
      </w:tr>
      <w:tr>
        <w:tblPrEx>
          <w:tblCellMar>
            <w:top w:w="0" w:type="dxa"/>
            <w:left w:w="108" w:type="dxa"/>
            <w:bottom w:w="0" w:type="dxa"/>
            <w:right w:w="108" w:type="dxa"/>
          </w:tblCellMar>
        </w:tblPrEx>
        <w:trPr>
          <w:trHeight w:val="255" w:hRule="atLeast"/>
        </w:trPr>
        <w:tc>
          <w:tcPr>
            <w:tcW w:w="1498"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227.87</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68.12</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159.75</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b/>
                <w:bCs/>
                <w:color w:val="000000"/>
                <w:sz w:val="16"/>
                <w:szCs w:val="16"/>
              </w:rPr>
            </w:pP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w:t>
            </w:r>
          </w:p>
        </w:tc>
        <w:tc>
          <w:tcPr>
            <w:tcW w:w="83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社会保障和就业支出</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b/>
                <w:bCs/>
                <w:color w:val="000000"/>
                <w:sz w:val="16"/>
                <w:szCs w:val="16"/>
              </w:rPr>
            </w:pP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20805</w:t>
            </w:r>
          </w:p>
        </w:tc>
        <w:tc>
          <w:tcPr>
            <w:tcW w:w="83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行政事业单位养老支出</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b/>
                <w:bCs/>
                <w:color w:val="000000"/>
                <w:sz w:val="16"/>
                <w:szCs w:val="16"/>
              </w:rPr>
            </w:pP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2080505</w:t>
            </w:r>
          </w:p>
        </w:tc>
        <w:tc>
          <w:tcPr>
            <w:tcW w:w="83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机关事业单位基本养老保险缴费支出</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w:t>
            </w:r>
          </w:p>
        </w:tc>
        <w:tc>
          <w:tcPr>
            <w:tcW w:w="83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卫生健康支出</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b/>
                <w:bCs/>
                <w:color w:val="000000"/>
                <w:sz w:val="16"/>
                <w:szCs w:val="16"/>
              </w:rPr>
            </w:pP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55" w:hRule="atLeast"/>
        </w:trPr>
        <w:tc>
          <w:tcPr>
            <w:tcW w:w="66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21011</w:t>
            </w:r>
          </w:p>
        </w:tc>
        <w:tc>
          <w:tcPr>
            <w:tcW w:w="83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行政事业单位医疗</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c>
          <w:tcPr>
            <w:tcW w:w="58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b/>
                <w:bCs/>
                <w:color w:val="000000"/>
                <w:sz w:val="16"/>
                <w:szCs w:val="16"/>
              </w:rPr>
            </w:pPr>
          </w:p>
        </w:tc>
        <w:tc>
          <w:tcPr>
            <w:tcW w:w="58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237" w:hRule="atLeast"/>
        </w:trPr>
        <w:tc>
          <w:tcPr>
            <w:tcW w:w="665"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2101102</w:t>
            </w:r>
          </w:p>
        </w:tc>
        <w:tc>
          <w:tcPr>
            <w:tcW w:w="833"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事业单位医疗</w:t>
            </w:r>
          </w:p>
        </w:tc>
        <w:tc>
          <w:tcPr>
            <w:tcW w:w="583"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583"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583"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000000" w:sz="4" w:space="0"/>
              <w:left w:val="single" w:color="000000" w:sz="4" w:space="0"/>
              <w:bottom w:val="single" w:color="auto"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583" w:type="pct"/>
            <w:tcBorders>
              <w:top w:val="single" w:color="000000" w:sz="4" w:space="0"/>
              <w:left w:val="single" w:color="000000" w:sz="4" w:space="0"/>
              <w:bottom w:val="single" w:color="auto"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000000" w:sz="4" w:space="0"/>
              <w:left w:val="single" w:color="000000" w:sz="4" w:space="0"/>
              <w:bottom w:val="single" w:color="auto"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170" w:hRule="atLeast"/>
        </w:trPr>
        <w:tc>
          <w:tcPr>
            <w:tcW w:w="665"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w:t>
            </w:r>
          </w:p>
        </w:tc>
        <w:tc>
          <w:tcPr>
            <w:tcW w:w="833"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农林水支出</w:t>
            </w:r>
          </w:p>
        </w:tc>
        <w:tc>
          <w:tcPr>
            <w:tcW w:w="583"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221.16</w:t>
            </w:r>
          </w:p>
        </w:tc>
        <w:tc>
          <w:tcPr>
            <w:tcW w:w="583"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61.40</w:t>
            </w:r>
          </w:p>
        </w:tc>
        <w:tc>
          <w:tcPr>
            <w:tcW w:w="583"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159.75</w:t>
            </w:r>
          </w:p>
        </w:tc>
        <w:tc>
          <w:tcPr>
            <w:tcW w:w="583" w:type="pct"/>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152" w:hRule="atLeast"/>
        </w:trPr>
        <w:tc>
          <w:tcPr>
            <w:tcW w:w="66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w:t>
            </w:r>
          </w:p>
        </w:tc>
        <w:tc>
          <w:tcPr>
            <w:tcW w:w="83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林业和草原</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221.16</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61.40</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159.75</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152" w:hRule="atLeast"/>
        </w:trPr>
        <w:tc>
          <w:tcPr>
            <w:tcW w:w="66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2130204</w:t>
            </w:r>
          </w:p>
        </w:tc>
        <w:tc>
          <w:tcPr>
            <w:tcW w:w="83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事业机构</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118.15</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61.40</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56.75</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152" w:hRule="atLeast"/>
        </w:trPr>
        <w:tc>
          <w:tcPr>
            <w:tcW w:w="66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2130205</w:t>
            </w:r>
          </w:p>
        </w:tc>
        <w:tc>
          <w:tcPr>
            <w:tcW w:w="83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森林资源培育</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20.00</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20.00</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152" w:hRule="atLeast"/>
        </w:trPr>
        <w:tc>
          <w:tcPr>
            <w:tcW w:w="66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2130209</w:t>
            </w:r>
          </w:p>
        </w:tc>
        <w:tc>
          <w:tcPr>
            <w:tcW w:w="83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森林生态效益补偿</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25.00</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25.00</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152" w:hRule="atLeast"/>
        </w:trPr>
        <w:tc>
          <w:tcPr>
            <w:tcW w:w="66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2130299</w:t>
            </w:r>
          </w:p>
        </w:tc>
        <w:tc>
          <w:tcPr>
            <w:tcW w:w="83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其他林业和草原支出</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58.01</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58.01</w:t>
            </w: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c>
          <w:tcPr>
            <w:tcW w:w="583"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86" w:type="pct"/>
            <w:tcBorders>
              <w:top w:val="single" w:color="auto"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255" w:hRule="atLeast"/>
        </w:trPr>
        <w:tc>
          <w:tcPr>
            <w:tcW w:w="5000" w:type="pct"/>
            <w:gridSpan w:val="8"/>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注：本表反映部门本年度各项支出情况。</w:t>
            </w:r>
          </w:p>
        </w:tc>
      </w:tr>
    </w:tbl>
    <w:p>
      <w:pPr>
        <w:rPr>
          <w:sz w:val="32"/>
          <w:szCs w:val="32"/>
        </w:rPr>
      </w:pPr>
    </w:p>
    <w:p>
      <w:pPr>
        <w:widowControl/>
        <w:jc w:val="center"/>
        <w:textAlignment w:val="center"/>
        <w:rPr>
          <w:sz w:val="32"/>
          <w:szCs w:val="32"/>
        </w:rPr>
      </w:pPr>
      <w:r>
        <w:rPr>
          <w:rFonts w:hint="eastAsia"/>
          <w:sz w:val="32"/>
          <w:szCs w:val="32"/>
        </w:rPr>
        <w:t>财政拨款收入支出决算总表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公开04表</w:t>
      </w:r>
    </w:p>
    <w:p>
      <w:pPr>
        <w:widowControl/>
        <w:textAlignment w:val="center"/>
        <w:rPr>
          <w:sz w:val="32"/>
          <w:szCs w:val="32"/>
        </w:rPr>
      </w:pPr>
      <w:r>
        <w:rPr>
          <w:rFonts w:hint="eastAsia" w:ascii="宋体" w:hAnsi="宋体" w:eastAsia="宋体" w:cs="宋体"/>
          <w:color w:val="000000"/>
          <w:kern w:val="0"/>
          <w:sz w:val="16"/>
          <w:szCs w:val="16"/>
          <w:lang w:bidi="ar"/>
        </w:rPr>
        <w:t>部门：湖南省林业局宣传中心                                                                                                                                           单位：万元</w:t>
      </w:r>
    </w:p>
    <w:tbl>
      <w:tblPr>
        <w:tblStyle w:val="5"/>
        <w:tblW w:w="4999" w:type="pct"/>
        <w:tblInd w:w="0" w:type="dxa"/>
        <w:shd w:val="clear" w:color="auto" w:fill="FFFFFF" w:themeFill="background1"/>
        <w:tblLayout w:type="autofit"/>
        <w:tblCellMar>
          <w:top w:w="0" w:type="dxa"/>
          <w:left w:w="108" w:type="dxa"/>
          <w:bottom w:w="0" w:type="dxa"/>
          <w:right w:w="108" w:type="dxa"/>
        </w:tblCellMar>
      </w:tblPr>
      <w:tblGrid>
        <w:gridCol w:w="2495"/>
        <w:gridCol w:w="649"/>
        <w:gridCol w:w="1570"/>
        <w:gridCol w:w="2497"/>
        <w:gridCol w:w="652"/>
        <w:gridCol w:w="1570"/>
        <w:gridCol w:w="1570"/>
        <w:gridCol w:w="1571"/>
        <w:gridCol w:w="1597"/>
      </w:tblGrid>
      <w:tr>
        <w:tblPrEx>
          <w:tblCellMar>
            <w:top w:w="0" w:type="dxa"/>
            <w:left w:w="108" w:type="dxa"/>
            <w:bottom w:w="0" w:type="dxa"/>
            <w:right w:w="108" w:type="dxa"/>
          </w:tblCellMar>
        </w:tblPrEx>
        <w:trPr>
          <w:trHeight w:val="255" w:hRule="atLeast"/>
        </w:trPr>
        <w:tc>
          <w:tcPr>
            <w:tcW w:w="2544" w:type="pct"/>
            <w:gridSpan w:val="4"/>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收     入</w:t>
            </w:r>
          </w:p>
        </w:tc>
        <w:tc>
          <w:tcPr>
            <w:tcW w:w="2455" w:type="pct"/>
            <w:gridSpan w:val="5"/>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支     出</w:t>
            </w:r>
          </w:p>
        </w:tc>
      </w:tr>
      <w:tr>
        <w:tblPrEx>
          <w:tblCellMar>
            <w:top w:w="0" w:type="dxa"/>
            <w:left w:w="108" w:type="dxa"/>
            <w:bottom w:w="0" w:type="dxa"/>
            <w:right w:w="108" w:type="dxa"/>
          </w:tblCellMar>
        </w:tblPrEx>
        <w:trPr>
          <w:trHeight w:val="312" w:hRule="atLeast"/>
        </w:trPr>
        <w:tc>
          <w:tcPr>
            <w:tcW w:w="88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项目</w:t>
            </w:r>
          </w:p>
        </w:tc>
        <w:tc>
          <w:tcPr>
            <w:tcW w:w="22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行次</w:t>
            </w:r>
          </w:p>
        </w:tc>
        <w:tc>
          <w:tcPr>
            <w:tcW w:w="554"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金额</w:t>
            </w:r>
          </w:p>
        </w:tc>
        <w:tc>
          <w:tcPr>
            <w:tcW w:w="87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bottom"/>
          </w:tcPr>
          <w:p>
            <w:pPr>
              <w:widowControl/>
              <w:jc w:val="center"/>
              <w:textAlignment w:val="bottom"/>
              <w:rPr>
                <w:rFonts w:ascii="宋体" w:hAnsi="宋体" w:eastAsia="宋体" w:cs="宋体"/>
                <w:color w:val="000000"/>
                <w:sz w:val="15"/>
                <w:szCs w:val="15"/>
              </w:rPr>
            </w:pPr>
            <w:r>
              <w:rPr>
                <w:rFonts w:hint="eastAsia" w:ascii="宋体" w:hAnsi="宋体" w:eastAsia="宋体" w:cs="宋体"/>
                <w:color w:val="000000"/>
                <w:kern w:val="0"/>
                <w:sz w:val="15"/>
                <w:szCs w:val="15"/>
                <w:lang w:bidi="ar"/>
              </w:rPr>
              <w:t>项目</w:t>
            </w:r>
          </w:p>
        </w:tc>
        <w:tc>
          <w:tcPr>
            <w:tcW w:w="23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行次</w:t>
            </w:r>
          </w:p>
        </w:tc>
        <w:tc>
          <w:tcPr>
            <w:tcW w:w="554"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合计</w:t>
            </w:r>
          </w:p>
        </w:tc>
        <w:tc>
          <w:tcPr>
            <w:tcW w:w="554"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一般公共预算财政拨款</w:t>
            </w:r>
          </w:p>
        </w:tc>
        <w:tc>
          <w:tcPr>
            <w:tcW w:w="554"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政府性基金预算财政拨款</w:t>
            </w:r>
          </w:p>
        </w:tc>
        <w:tc>
          <w:tcPr>
            <w:tcW w:w="56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国有资本经营预算财政拨款</w:t>
            </w:r>
          </w:p>
        </w:tc>
      </w:tr>
      <w:tr>
        <w:tblPrEx>
          <w:tblCellMar>
            <w:top w:w="0" w:type="dxa"/>
            <w:left w:w="108" w:type="dxa"/>
            <w:bottom w:w="0" w:type="dxa"/>
            <w:right w:w="108" w:type="dxa"/>
          </w:tblCellMar>
        </w:tblPrEx>
        <w:trPr>
          <w:trHeight w:val="312" w:hRule="atLeast"/>
        </w:trPr>
        <w:tc>
          <w:tcPr>
            <w:tcW w:w="88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22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87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bottom"/>
          </w:tcPr>
          <w:p>
            <w:pPr>
              <w:jc w:val="center"/>
              <w:rPr>
                <w:rFonts w:ascii="宋体" w:hAnsi="宋体" w:eastAsia="宋体" w:cs="宋体"/>
                <w:color w:val="000000"/>
                <w:sz w:val="15"/>
                <w:szCs w:val="15"/>
              </w:rPr>
            </w:pPr>
          </w:p>
        </w:tc>
        <w:tc>
          <w:tcPr>
            <w:tcW w:w="23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54"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6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栏次</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bottom"/>
          </w:tcPr>
          <w:p>
            <w:pPr>
              <w:widowControl/>
              <w:jc w:val="center"/>
              <w:textAlignment w:val="bottom"/>
              <w:rPr>
                <w:rFonts w:ascii="宋体" w:hAnsi="宋体" w:eastAsia="宋体" w:cs="宋体"/>
                <w:color w:val="000000"/>
                <w:sz w:val="15"/>
                <w:szCs w:val="15"/>
              </w:rPr>
            </w:pPr>
            <w:r>
              <w:rPr>
                <w:rFonts w:hint="eastAsia" w:ascii="宋体" w:hAnsi="宋体" w:eastAsia="宋体" w:cs="宋体"/>
                <w:color w:val="000000"/>
                <w:kern w:val="0"/>
                <w:sz w:val="15"/>
                <w:szCs w:val="15"/>
                <w:lang w:bidi="ar"/>
              </w:rPr>
              <w:t>栏次</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5"/>
                <w:szCs w:val="15"/>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w:t>
            </w: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w:t>
            </w: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一、一般公共预算财政拨款</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265.45</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一、一般公共服务支出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二、政府性基金预算财政拨款</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二、外交支出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三、国有资本经营财政拨款</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三、国防支出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四、公共安全支出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五、教育支出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六、科学技术支出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38</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七、文化旅游体育与传媒支出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39</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8</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八、社会保障和就业支出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3.66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3.66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9</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九、卫生健康支出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r>
              <w:rPr>
                <w:rFonts w:ascii="宋体" w:hAnsi="宋体" w:eastAsia="宋体" w:cs="宋体"/>
                <w:color w:val="000000"/>
                <w:sz w:val="16"/>
                <w:szCs w:val="16"/>
              </w:rPr>
              <w:t>3.05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r>
              <w:rPr>
                <w:rFonts w:ascii="宋体" w:hAnsi="宋体" w:eastAsia="宋体" w:cs="宋体"/>
                <w:color w:val="000000"/>
                <w:sz w:val="16"/>
                <w:szCs w:val="16"/>
              </w:rPr>
              <w:t>3.05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十、节能环保支出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十一、城乡社区支出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十二、农林水支出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221.16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221.16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十三、交通运输支出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十四、资源勘探工业信息等支出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十五、商业服务业等支出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十六、金融支出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48</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十七、援助其他地区支出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49</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18</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十八、自然资源海洋气象等支出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19</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十九、住房保障支出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二十、粮油物资储备支出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二十一、国有资本经营预算支出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二十二、灾害防治及应急管理支出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二十三、其他支出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二十四、债务还本支出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25</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二十五、债务付息支出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26</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二十六、抗疫特别国债安排的支出</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58</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5"/>
                <w:szCs w:val="15"/>
              </w:rPr>
            </w:pPr>
            <w:r>
              <w:rPr>
                <w:rFonts w:hint="eastAsia" w:ascii="宋体" w:hAnsi="宋体" w:eastAsia="宋体" w:cs="宋体"/>
                <w:b/>
                <w:bCs/>
                <w:color w:val="000000"/>
                <w:kern w:val="0"/>
                <w:sz w:val="15"/>
                <w:szCs w:val="15"/>
                <w:lang w:bidi="ar"/>
              </w:rPr>
              <w:t>本年收入合计</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265.45</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5"/>
                <w:szCs w:val="15"/>
              </w:rPr>
            </w:pPr>
            <w:r>
              <w:rPr>
                <w:rFonts w:hint="eastAsia" w:ascii="宋体" w:hAnsi="宋体" w:eastAsia="宋体" w:cs="宋体"/>
                <w:b/>
                <w:bCs/>
                <w:color w:val="000000"/>
                <w:kern w:val="0"/>
                <w:sz w:val="15"/>
                <w:szCs w:val="15"/>
                <w:lang w:bidi="ar"/>
              </w:rPr>
              <w:t>本年支出合计</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59</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227.87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227.87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年初财政拨款结转和结余</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28</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1.32</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年末财政拨款结转和结余</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60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38.90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38.90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 xml:space="preserve">  一般公共预算财政拨款</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29</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1.32</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61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 xml:space="preserve">  政府性基金预算财政拨款</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30</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62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 xml:space="preserve">  国有资本经营预算财政拨款</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31</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5"/>
                <w:szCs w:val="15"/>
              </w:rPr>
            </w:pP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63</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88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5"/>
                <w:szCs w:val="15"/>
              </w:rPr>
            </w:pPr>
            <w:r>
              <w:rPr>
                <w:rFonts w:hint="eastAsia" w:ascii="宋体" w:hAnsi="宋体" w:eastAsia="宋体" w:cs="宋体"/>
                <w:b/>
                <w:bCs/>
                <w:color w:val="000000"/>
                <w:kern w:val="0"/>
                <w:sz w:val="15"/>
                <w:szCs w:val="15"/>
                <w:lang w:bidi="ar"/>
              </w:rPr>
              <w:t>总计</w:t>
            </w:r>
          </w:p>
        </w:tc>
        <w:tc>
          <w:tcPr>
            <w:tcW w:w="2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32</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266.77</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b/>
                <w:bCs/>
                <w:color w:val="000000"/>
                <w:sz w:val="15"/>
                <w:szCs w:val="15"/>
              </w:rPr>
            </w:pPr>
            <w:r>
              <w:rPr>
                <w:rFonts w:hint="eastAsia" w:ascii="宋体" w:hAnsi="宋体" w:eastAsia="宋体" w:cs="宋体"/>
                <w:b/>
                <w:bCs/>
                <w:color w:val="000000"/>
                <w:kern w:val="0"/>
                <w:sz w:val="15"/>
                <w:szCs w:val="15"/>
                <w:lang w:bidi="ar"/>
              </w:rPr>
              <w:t>总计</w:t>
            </w:r>
          </w:p>
        </w:tc>
        <w:tc>
          <w:tcPr>
            <w:tcW w:w="2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5"/>
                <w:szCs w:val="15"/>
              </w:rPr>
            </w:pPr>
            <w:r>
              <w:rPr>
                <w:rFonts w:hint="eastAsia" w:ascii="宋体" w:hAnsi="宋体" w:eastAsia="宋体" w:cs="宋体"/>
                <w:color w:val="000000"/>
                <w:kern w:val="0"/>
                <w:sz w:val="15"/>
                <w:szCs w:val="15"/>
                <w:lang w:bidi="ar"/>
              </w:rPr>
              <w:t>64</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266.77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266.77</w:t>
            </w:r>
          </w:p>
        </w:tc>
        <w:tc>
          <w:tcPr>
            <w:tcW w:w="55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bl>
    <w:p>
      <w:pPr>
        <w:rPr>
          <w:sz w:val="16"/>
          <w:szCs w:val="16"/>
        </w:rPr>
      </w:pPr>
      <w:r>
        <w:rPr>
          <w:rFonts w:hint="eastAsia"/>
          <w:sz w:val="16"/>
          <w:szCs w:val="16"/>
        </w:rPr>
        <w:t>注：本表反映部门本年度一般公共预算财政拨款、政府性基金预算财政拨款和国有资本经营预算财政拨款的总收支和年末结转结余情况。</w:t>
      </w: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r>
        <w:rPr>
          <w:rFonts w:hint="eastAsia"/>
          <w:sz w:val="32"/>
          <w:szCs w:val="32"/>
        </w:rPr>
        <w:t>预算财政拨款支出决算表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公开05表</w:t>
      </w:r>
    </w:p>
    <w:p>
      <w:pPr>
        <w:widowControl/>
        <w:textAlignment w:val="center"/>
        <w:rPr>
          <w:sz w:val="32"/>
          <w:szCs w:val="32"/>
        </w:rPr>
      </w:pPr>
      <w:r>
        <w:rPr>
          <w:rFonts w:hint="eastAsia" w:ascii="宋体" w:hAnsi="宋体" w:eastAsia="宋体" w:cs="宋体"/>
          <w:color w:val="000000"/>
          <w:kern w:val="0"/>
          <w:sz w:val="16"/>
          <w:szCs w:val="16"/>
          <w:lang w:bidi="ar"/>
        </w:rPr>
        <w:t>部门：湖南省林业局宣传中心                                                                                                                                           单位：万元</w:t>
      </w:r>
    </w:p>
    <w:tbl>
      <w:tblPr>
        <w:tblStyle w:val="5"/>
        <w:tblW w:w="4999" w:type="pct"/>
        <w:tblInd w:w="0" w:type="dxa"/>
        <w:shd w:val="clear" w:color="auto" w:fill="FFFFFF" w:themeFill="background1"/>
        <w:tblLayout w:type="autofit"/>
        <w:tblCellMar>
          <w:top w:w="0" w:type="dxa"/>
          <w:left w:w="108" w:type="dxa"/>
          <w:bottom w:w="0" w:type="dxa"/>
          <w:right w:w="108" w:type="dxa"/>
        </w:tblCellMar>
      </w:tblPr>
      <w:tblGrid>
        <w:gridCol w:w="2001"/>
        <w:gridCol w:w="5629"/>
        <w:gridCol w:w="2179"/>
        <w:gridCol w:w="2179"/>
        <w:gridCol w:w="2183"/>
      </w:tblGrid>
      <w:tr>
        <w:tblPrEx>
          <w:tblCellMar>
            <w:top w:w="0" w:type="dxa"/>
            <w:left w:w="108" w:type="dxa"/>
            <w:bottom w:w="0" w:type="dxa"/>
            <w:right w:w="108" w:type="dxa"/>
          </w:tblCellMar>
        </w:tblPrEx>
        <w:trPr>
          <w:trHeight w:val="255" w:hRule="atLeast"/>
        </w:trPr>
        <w:tc>
          <w:tcPr>
            <w:tcW w:w="2692"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2307"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本年支出</w:t>
            </w:r>
          </w:p>
        </w:tc>
      </w:tr>
      <w:tr>
        <w:tblPrEx>
          <w:tblCellMar>
            <w:top w:w="0" w:type="dxa"/>
            <w:left w:w="108" w:type="dxa"/>
            <w:bottom w:w="0" w:type="dxa"/>
            <w:right w:w="108" w:type="dxa"/>
          </w:tblCellMar>
        </w:tblPrEx>
        <w:trPr>
          <w:trHeight w:val="312" w:hRule="atLeast"/>
        </w:trPr>
        <w:tc>
          <w:tcPr>
            <w:tcW w:w="706"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功能分类科目编码</w:t>
            </w:r>
          </w:p>
        </w:tc>
        <w:tc>
          <w:tcPr>
            <w:tcW w:w="198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76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小计</w:t>
            </w:r>
          </w:p>
        </w:tc>
        <w:tc>
          <w:tcPr>
            <w:tcW w:w="76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基本支出</w:t>
            </w:r>
          </w:p>
        </w:tc>
        <w:tc>
          <w:tcPr>
            <w:tcW w:w="76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项目支出</w:t>
            </w:r>
          </w:p>
        </w:tc>
      </w:tr>
      <w:tr>
        <w:tblPrEx>
          <w:tblCellMar>
            <w:top w:w="0" w:type="dxa"/>
            <w:left w:w="108" w:type="dxa"/>
            <w:bottom w:w="0" w:type="dxa"/>
            <w:right w:w="108" w:type="dxa"/>
          </w:tblCellMar>
        </w:tblPrEx>
        <w:trPr>
          <w:trHeight w:val="312" w:hRule="atLeast"/>
        </w:trPr>
        <w:tc>
          <w:tcPr>
            <w:tcW w:w="70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198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6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6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6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70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198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6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6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76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2692"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r>
      <w:tr>
        <w:tblPrEx>
          <w:tblCellMar>
            <w:top w:w="0" w:type="dxa"/>
            <w:left w:w="108" w:type="dxa"/>
            <w:bottom w:w="0" w:type="dxa"/>
            <w:right w:w="108" w:type="dxa"/>
          </w:tblCellMar>
        </w:tblPrEx>
        <w:trPr>
          <w:trHeight w:val="255" w:hRule="atLeast"/>
        </w:trPr>
        <w:tc>
          <w:tcPr>
            <w:tcW w:w="2692"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227.87</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68.12</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159.75</w:t>
            </w:r>
          </w:p>
        </w:tc>
      </w:tr>
      <w:tr>
        <w:tblPrEx>
          <w:tblCellMar>
            <w:top w:w="0" w:type="dxa"/>
            <w:left w:w="108" w:type="dxa"/>
            <w:bottom w:w="0" w:type="dxa"/>
            <w:right w:w="108" w:type="dxa"/>
          </w:tblCellMar>
        </w:tblPrEx>
        <w:trPr>
          <w:trHeight w:val="255" w:hRule="atLeast"/>
        </w:trPr>
        <w:tc>
          <w:tcPr>
            <w:tcW w:w="706"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w:t>
            </w:r>
          </w:p>
        </w:tc>
        <w:tc>
          <w:tcPr>
            <w:tcW w:w="198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社会保障和就业支出</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255" w:hRule="atLeast"/>
        </w:trPr>
        <w:tc>
          <w:tcPr>
            <w:tcW w:w="706"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20805</w:t>
            </w:r>
          </w:p>
        </w:tc>
        <w:tc>
          <w:tcPr>
            <w:tcW w:w="198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行政事业单位养老支出</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255" w:hRule="atLeast"/>
        </w:trPr>
        <w:tc>
          <w:tcPr>
            <w:tcW w:w="706"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2080505</w:t>
            </w:r>
          </w:p>
        </w:tc>
        <w:tc>
          <w:tcPr>
            <w:tcW w:w="198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机关事业单位基本养老保险缴费支出</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3.66</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255" w:hRule="atLeast"/>
        </w:trPr>
        <w:tc>
          <w:tcPr>
            <w:tcW w:w="706"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w:t>
            </w:r>
          </w:p>
        </w:tc>
        <w:tc>
          <w:tcPr>
            <w:tcW w:w="198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卫生健康支出</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255" w:hRule="atLeast"/>
        </w:trPr>
        <w:tc>
          <w:tcPr>
            <w:tcW w:w="706"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21011</w:t>
            </w:r>
          </w:p>
        </w:tc>
        <w:tc>
          <w:tcPr>
            <w:tcW w:w="1985"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行政事业单位医疗</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769" w:type="pct"/>
            <w:tcBorders>
              <w:top w:val="single" w:color="000000"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75" w:hRule="atLeast"/>
        </w:trPr>
        <w:tc>
          <w:tcPr>
            <w:tcW w:w="706"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2101102</w:t>
            </w:r>
          </w:p>
        </w:tc>
        <w:tc>
          <w:tcPr>
            <w:tcW w:w="1985"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事业单位医疗</w:t>
            </w:r>
          </w:p>
        </w:tc>
        <w:tc>
          <w:tcPr>
            <w:tcW w:w="769"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769"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3.05</w:t>
            </w:r>
          </w:p>
        </w:tc>
        <w:tc>
          <w:tcPr>
            <w:tcW w:w="769" w:type="pct"/>
            <w:tcBorders>
              <w:top w:val="single" w:color="000000"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r>
      <w:tr>
        <w:tblPrEx>
          <w:tblCellMar>
            <w:top w:w="0" w:type="dxa"/>
            <w:left w:w="108" w:type="dxa"/>
            <w:bottom w:w="0" w:type="dxa"/>
            <w:right w:w="108" w:type="dxa"/>
          </w:tblCellMar>
        </w:tblPrEx>
        <w:trPr>
          <w:trHeight w:val="247" w:hRule="atLeast"/>
        </w:trPr>
        <w:tc>
          <w:tcPr>
            <w:tcW w:w="706"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w:t>
            </w:r>
          </w:p>
        </w:tc>
        <w:tc>
          <w:tcPr>
            <w:tcW w:w="1985"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农林水支出</w:t>
            </w:r>
          </w:p>
        </w:tc>
        <w:tc>
          <w:tcPr>
            <w:tcW w:w="769"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221.16</w:t>
            </w:r>
          </w:p>
        </w:tc>
        <w:tc>
          <w:tcPr>
            <w:tcW w:w="769"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61.40</w:t>
            </w:r>
          </w:p>
        </w:tc>
        <w:tc>
          <w:tcPr>
            <w:tcW w:w="769"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159.75</w:t>
            </w:r>
          </w:p>
        </w:tc>
      </w:tr>
      <w:tr>
        <w:tblPrEx>
          <w:tblCellMar>
            <w:top w:w="0" w:type="dxa"/>
            <w:left w:w="108" w:type="dxa"/>
            <w:bottom w:w="0" w:type="dxa"/>
            <w:right w:w="108" w:type="dxa"/>
          </w:tblCellMar>
        </w:tblPrEx>
        <w:trPr>
          <w:trHeight w:val="203" w:hRule="atLeast"/>
        </w:trPr>
        <w:tc>
          <w:tcPr>
            <w:tcW w:w="706"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w:t>
            </w:r>
          </w:p>
        </w:tc>
        <w:tc>
          <w:tcPr>
            <w:tcW w:w="1985"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林业和草原</w:t>
            </w:r>
          </w:p>
        </w:tc>
        <w:tc>
          <w:tcPr>
            <w:tcW w:w="769"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221.16</w:t>
            </w:r>
          </w:p>
        </w:tc>
        <w:tc>
          <w:tcPr>
            <w:tcW w:w="769"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61.40</w:t>
            </w:r>
          </w:p>
        </w:tc>
        <w:tc>
          <w:tcPr>
            <w:tcW w:w="769" w:type="pct"/>
            <w:tcBorders>
              <w:top w:val="single" w:color="auto" w:sz="4" w:space="0"/>
              <w:left w:val="single" w:color="000000" w:sz="4" w:space="0"/>
              <w:bottom w:val="single" w:color="auto"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159.75</w:t>
            </w:r>
          </w:p>
        </w:tc>
      </w:tr>
      <w:tr>
        <w:tblPrEx>
          <w:tblCellMar>
            <w:top w:w="0" w:type="dxa"/>
            <w:left w:w="108" w:type="dxa"/>
            <w:bottom w:w="0" w:type="dxa"/>
            <w:right w:w="108" w:type="dxa"/>
          </w:tblCellMar>
        </w:tblPrEx>
        <w:trPr>
          <w:trHeight w:val="119" w:hRule="atLeast"/>
        </w:trPr>
        <w:tc>
          <w:tcPr>
            <w:tcW w:w="706"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2130204</w:t>
            </w:r>
          </w:p>
        </w:tc>
        <w:tc>
          <w:tcPr>
            <w:tcW w:w="198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事业机构</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118.15</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61.40</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56.75</w:t>
            </w:r>
          </w:p>
        </w:tc>
      </w:tr>
      <w:tr>
        <w:tblPrEx>
          <w:tblCellMar>
            <w:top w:w="0" w:type="dxa"/>
            <w:left w:w="108" w:type="dxa"/>
            <w:bottom w:w="0" w:type="dxa"/>
            <w:right w:w="108" w:type="dxa"/>
          </w:tblCellMar>
        </w:tblPrEx>
        <w:trPr>
          <w:trHeight w:val="119" w:hRule="atLeast"/>
        </w:trPr>
        <w:tc>
          <w:tcPr>
            <w:tcW w:w="706"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2130205</w:t>
            </w:r>
          </w:p>
        </w:tc>
        <w:tc>
          <w:tcPr>
            <w:tcW w:w="198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森林资源培育</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20.00</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20.00</w:t>
            </w:r>
          </w:p>
        </w:tc>
      </w:tr>
      <w:tr>
        <w:tblPrEx>
          <w:tblCellMar>
            <w:top w:w="0" w:type="dxa"/>
            <w:left w:w="108" w:type="dxa"/>
            <w:bottom w:w="0" w:type="dxa"/>
            <w:right w:w="108" w:type="dxa"/>
          </w:tblCellMar>
        </w:tblPrEx>
        <w:trPr>
          <w:trHeight w:val="119" w:hRule="atLeast"/>
        </w:trPr>
        <w:tc>
          <w:tcPr>
            <w:tcW w:w="706"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2130209</w:t>
            </w:r>
          </w:p>
        </w:tc>
        <w:tc>
          <w:tcPr>
            <w:tcW w:w="198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森林生态效益补偿</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25.00</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25.00</w:t>
            </w:r>
          </w:p>
        </w:tc>
      </w:tr>
      <w:tr>
        <w:tblPrEx>
          <w:tblCellMar>
            <w:top w:w="0" w:type="dxa"/>
            <w:left w:w="108" w:type="dxa"/>
            <w:bottom w:w="0" w:type="dxa"/>
            <w:right w:w="108" w:type="dxa"/>
          </w:tblCellMar>
        </w:tblPrEx>
        <w:trPr>
          <w:trHeight w:val="119" w:hRule="atLeast"/>
        </w:trPr>
        <w:tc>
          <w:tcPr>
            <w:tcW w:w="706"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2130299</w:t>
            </w:r>
          </w:p>
        </w:tc>
        <w:tc>
          <w:tcPr>
            <w:tcW w:w="1985"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 xml:space="preserve">  其他林业和草原支出</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58.01</w:t>
            </w: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p>
        </w:tc>
        <w:tc>
          <w:tcPr>
            <w:tcW w:w="769" w:type="pct"/>
            <w:tcBorders>
              <w:top w:val="single" w:color="auto" w:sz="4" w:space="0"/>
              <w:left w:val="single" w:color="000000" w:sz="4" w:space="0"/>
              <w:bottom w:val="single" w:color="000000" w:sz="4" w:space="0"/>
              <w:right w:val="single" w:color="000000" w:sz="4" w:space="0"/>
            </w:tcBorders>
            <w:shd w:val="clear" w:color="auto" w:fill="FFFFFF" w:themeFill="background1"/>
          </w:tcPr>
          <w:p>
            <w:pPr>
              <w:widowControl/>
              <w:jc w:val="right"/>
              <w:textAlignment w:val="center"/>
              <w:rPr>
                <w:rFonts w:ascii="宋体" w:hAnsi="宋体" w:eastAsia="宋体" w:cs="宋体"/>
                <w:color w:val="000000"/>
                <w:kern w:val="0"/>
                <w:sz w:val="16"/>
                <w:szCs w:val="16"/>
                <w:lang w:bidi="ar"/>
              </w:rPr>
            </w:pPr>
            <w:r>
              <w:rPr>
                <w:rFonts w:ascii="宋体" w:hAnsi="宋体" w:eastAsia="宋体" w:cs="宋体"/>
                <w:color w:val="000000"/>
                <w:kern w:val="0"/>
                <w:sz w:val="16"/>
                <w:szCs w:val="16"/>
                <w:lang w:bidi="ar"/>
              </w:rPr>
              <w:t>58.01</w:t>
            </w:r>
          </w:p>
        </w:tc>
      </w:tr>
      <w:tr>
        <w:tblPrEx>
          <w:tblCellMar>
            <w:top w:w="0" w:type="dxa"/>
            <w:left w:w="108" w:type="dxa"/>
            <w:bottom w:w="0" w:type="dxa"/>
            <w:right w:w="108" w:type="dxa"/>
          </w:tblCellMar>
        </w:tblPrEx>
        <w:trPr>
          <w:trHeight w:val="255" w:hRule="atLeast"/>
        </w:trPr>
        <w:tc>
          <w:tcPr>
            <w:tcW w:w="5000" w:type="pct"/>
            <w:gridSpan w:val="5"/>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注：本表反映部门本年度一般公共预算财政拨款支出情况。</w:t>
            </w:r>
          </w:p>
        </w:tc>
      </w:tr>
    </w:tbl>
    <w:p>
      <w:pPr>
        <w:widowControl/>
        <w:textAlignment w:val="center"/>
        <w:rPr>
          <w:sz w:val="32"/>
          <w:szCs w:val="32"/>
        </w:rPr>
      </w:pPr>
    </w:p>
    <w:p>
      <w:pPr>
        <w:widowControl/>
        <w:jc w:val="center"/>
        <w:textAlignment w:val="center"/>
        <w:rPr>
          <w:sz w:val="32"/>
          <w:szCs w:val="32"/>
        </w:rPr>
      </w:pPr>
      <w:r>
        <w:rPr>
          <w:rFonts w:hint="eastAsia"/>
          <w:sz w:val="32"/>
          <w:szCs w:val="32"/>
        </w:rPr>
        <w:t>一般公共预算财政拨款基本支出决算明细表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公开06表</w:t>
      </w:r>
    </w:p>
    <w:p>
      <w:pPr>
        <w:widowControl/>
        <w:textAlignment w:val="center"/>
        <w:rPr>
          <w:sz w:val="32"/>
          <w:szCs w:val="32"/>
        </w:rPr>
      </w:pPr>
      <w:r>
        <w:rPr>
          <w:rFonts w:hint="eastAsia" w:ascii="宋体" w:hAnsi="宋体" w:eastAsia="宋体" w:cs="宋体"/>
          <w:color w:val="000000"/>
          <w:kern w:val="0"/>
          <w:sz w:val="16"/>
          <w:szCs w:val="16"/>
          <w:lang w:bidi="ar"/>
        </w:rPr>
        <w:t>部门：湖南省林业局宣传中心                                                                                                                                           单位：万元</w:t>
      </w:r>
    </w:p>
    <w:tbl>
      <w:tblPr>
        <w:tblStyle w:val="5"/>
        <w:tblW w:w="4998" w:type="pct"/>
        <w:tblInd w:w="0" w:type="dxa"/>
        <w:shd w:val="clear" w:color="auto" w:fill="FFFFFF" w:themeFill="background1"/>
        <w:tblLayout w:type="autofit"/>
        <w:tblCellMar>
          <w:top w:w="0" w:type="dxa"/>
          <w:left w:w="108" w:type="dxa"/>
          <w:bottom w:w="0" w:type="dxa"/>
          <w:right w:w="108" w:type="dxa"/>
        </w:tblCellMar>
      </w:tblPr>
      <w:tblGrid>
        <w:gridCol w:w="1105"/>
        <w:gridCol w:w="2428"/>
        <w:gridCol w:w="1312"/>
        <w:gridCol w:w="1108"/>
        <w:gridCol w:w="1825"/>
        <w:gridCol w:w="1252"/>
        <w:gridCol w:w="1201"/>
        <w:gridCol w:w="2548"/>
        <w:gridCol w:w="1389"/>
      </w:tblGrid>
      <w:tr>
        <w:tblPrEx>
          <w:tblCellMar>
            <w:top w:w="0" w:type="dxa"/>
            <w:left w:w="108" w:type="dxa"/>
            <w:bottom w:w="0" w:type="dxa"/>
            <w:right w:w="108" w:type="dxa"/>
          </w:tblCellMar>
        </w:tblPrEx>
        <w:trPr>
          <w:trHeight w:val="312" w:hRule="atLeast"/>
        </w:trPr>
        <w:tc>
          <w:tcPr>
            <w:tcW w:w="39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科目编码</w:t>
            </w:r>
          </w:p>
        </w:tc>
        <w:tc>
          <w:tcPr>
            <w:tcW w:w="85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46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决算数</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科目编码</w:t>
            </w:r>
          </w:p>
        </w:tc>
        <w:tc>
          <w:tcPr>
            <w:tcW w:w="644"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442"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决算数</w:t>
            </w:r>
          </w:p>
        </w:tc>
        <w:tc>
          <w:tcPr>
            <w:tcW w:w="424"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科目编码</w:t>
            </w:r>
          </w:p>
        </w:tc>
        <w:tc>
          <w:tcPr>
            <w:tcW w:w="896"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48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决算数</w:t>
            </w:r>
          </w:p>
        </w:tc>
      </w:tr>
      <w:tr>
        <w:tblPrEx>
          <w:tblCellMar>
            <w:top w:w="0" w:type="dxa"/>
            <w:left w:w="108" w:type="dxa"/>
            <w:bottom w:w="0" w:type="dxa"/>
            <w:right w:w="108" w:type="dxa"/>
          </w:tblCellMar>
        </w:tblPrEx>
        <w:trPr>
          <w:trHeight w:val="312" w:hRule="atLeast"/>
        </w:trPr>
        <w:tc>
          <w:tcPr>
            <w:tcW w:w="39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5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6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44"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42"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24"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9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w:t>
            </w:r>
          </w:p>
        </w:tc>
        <w:tc>
          <w:tcPr>
            <w:tcW w:w="85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工资福利支出</w:t>
            </w:r>
          </w:p>
        </w:tc>
        <w:tc>
          <w:tcPr>
            <w:tcW w:w="46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59.15</w:t>
            </w:r>
          </w:p>
        </w:tc>
        <w:tc>
          <w:tcPr>
            <w:tcW w:w="391"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w:t>
            </w:r>
          </w:p>
        </w:tc>
        <w:tc>
          <w:tcPr>
            <w:tcW w:w="64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商品和服务支出</w:t>
            </w:r>
          </w:p>
        </w:tc>
        <w:tc>
          <w:tcPr>
            <w:tcW w:w="442"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8.97</w:t>
            </w:r>
          </w:p>
        </w:tc>
        <w:tc>
          <w:tcPr>
            <w:tcW w:w="42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307</w:t>
            </w:r>
          </w:p>
        </w:tc>
        <w:tc>
          <w:tcPr>
            <w:tcW w:w="89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债务利息及费用支出</w:t>
            </w:r>
          </w:p>
        </w:tc>
        <w:tc>
          <w:tcPr>
            <w:tcW w:w="4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30101</w:t>
            </w:r>
          </w:p>
        </w:tc>
        <w:tc>
          <w:tcPr>
            <w:tcW w:w="857"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基本工资</w:t>
            </w:r>
          </w:p>
        </w:tc>
        <w:tc>
          <w:tcPr>
            <w:tcW w:w="463"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16.95</w:t>
            </w:r>
          </w:p>
        </w:tc>
        <w:tc>
          <w:tcPr>
            <w:tcW w:w="391"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30201</w:t>
            </w:r>
          </w:p>
        </w:tc>
        <w:tc>
          <w:tcPr>
            <w:tcW w:w="644"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办公费</w:t>
            </w:r>
          </w:p>
        </w:tc>
        <w:tc>
          <w:tcPr>
            <w:tcW w:w="442"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30701</w:t>
            </w:r>
          </w:p>
        </w:tc>
        <w:tc>
          <w:tcPr>
            <w:tcW w:w="896"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国内债务付息</w:t>
            </w:r>
          </w:p>
        </w:tc>
        <w:tc>
          <w:tcPr>
            <w:tcW w:w="487"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30102</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津贴补贴</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16.56</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30202</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印刷费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30702</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国外债务付息</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30103</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奖金</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12.59</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30203</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咨询费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资本性支出</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30106</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伙食补助费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30204</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手续费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31001</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房屋建筑物购建</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30107</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绩效工资</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30205</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水费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31002</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办公设备购置</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30108</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机关事业单位基本养老保险缴费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3.66</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30206</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电费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31003</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专用设备购置</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30109</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职业年金缴费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30207</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邮电费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31005</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基础设施建设</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30110</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职工基本医疗保险缴费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3.05</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30208</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取暖费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31006</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大型修缮</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30111</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公务员医疗补助缴费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30209</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物业管理费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31007</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信息网络及软件购置更新</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30112</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其他社会保障缴费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0.48</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30211</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差旅费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31008</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物资储备</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30113</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住房公积金</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5.85</w:t>
            </w: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30212</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因公出国（境）费用</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31009</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土地补偿</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30114</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医疗费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30213</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维修（护）费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31010</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安置补助</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30199</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其他工资福利支出</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30214</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租赁费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31011</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地上附着物和青苗补偿</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对个人和家庭的补助</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30215</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会议费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31012</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拆迁补偿</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30301</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离休费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30216</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培训费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0.02</w:t>
            </w: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31013</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公务用车购置</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30302</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退休费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30217</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公务接待费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1.19</w:t>
            </w: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31019</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其他交通工具购置</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30303</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退职（役）费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30218</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专用材料费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31021</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文物和陈列品购置</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30304</w:t>
            </w:r>
          </w:p>
        </w:tc>
        <w:tc>
          <w:tcPr>
            <w:tcW w:w="85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抚恤金</w:t>
            </w:r>
          </w:p>
        </w:tc>
        <w:tc>
          <w:tcPr>
            <w:tcW w:w="46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30224</w:t>
            </w:r>
          </w:p>
        </w:tc>
        <w:tc>
          <w:tcPr>
            <w:tcW w:w="64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被装购置费</w:t>
            </w:r>
          </w:p>
        </w:tc>
        <w:tc>
          <w:tcPr>
            <w:tcW w:w="442"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31022</w:t>
            </w:r>
          </w:p>
        </w:tc>
        <w:tc>
          <w:tcPr>
            <w:tcW w:w="89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无形资产购置</w:t>
            </w:r>
          </w:p>
        </w:tc>
        <w:tc>
          <w:tcPr>
            <w:tcW w:w="4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30305</w:t>
            </w:r>
          </w:p>
        </w:tc>
        <w:tc>
          <w:tcPr>
            <w:tcW w:w="857"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生活补助</w:t>
            </w:r>
          </w:p>
        </w:tc>
        <w:tc>
          <w:tcPr>
            <w:tcW w:w="463"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30225</w:t>
            </w:r>
          </w:p>
        </w:tc>
        <w:tc>
          <w:tcPr>
            <w:tcW w:w="644"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专用燃料费</w:t>
            </w:r>
          </w:p>
        </w:tc>
        <w:tc>
          <w:tcPr>
            <w:tcW w:w="442"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31099</w:t>
            </w:r>
          </w:p>
        </w:tc>
        <w:tc>
          <w:tcPr>
            <w:tcW w:w="896"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其他资本性支出</w:t>
            </w:r>
          </w:p>
        </w:tc>
        <w:tc>
          <w:tcPr>
            <w:tcW w:w="487" w:type="pct"/>
            <w:tcBorders>
              <w:top w:val="single" w:color="000000" w:sz="4" w:space="0"/>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30306</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救济费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30226</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劳务费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399</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其他支出</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30307</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医疗费补助</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30227</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委托业务费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39906</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赠与</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30308</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助学金</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30228</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工会经费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0.76</w:t>
            </w: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39907</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国家赔偿费用支出</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30309</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奖励金</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30229</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福利费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39908</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对民间非营利组织和群众性自治组织补贴</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30310</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个人农业生产补贴</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30231</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公务用车运行维护费</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2.99</w:t>
            </w:r>
          </w:p>
        </w:tc>
        <w:tc>
          <w:tcPr>
            <w:tcW w:w="42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39999</w:t>
            </w:r>
          </w:p>
        </w:tc>
        <w:tc>
          <w:tcPr>
            <w:tcW w:w="896"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其他支出</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30311</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代缴社会保险费</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30239</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 xml:space="preserve">  其他交通费用</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wordWrap w:val="0"/>
              <w:jc w:val="right"/>
              <w:textAlignment w:val="center"/>
              <w:rPr>
                <w:rFonts w:ascii="宋体" w:hAnsi="宋体" w:eastAsia="宋体" w:cs="宋体"/>
                <w:color w:val="000000"/>
                <w:sz w:val="16"/>
                <w:szCs w:val="16"/>
              </w:rPr>
            </w:pPr>
            <w:r>
              <w:rPr>
                <w:rFonts w:ascii="宋体" w:hAnsi="宋体" w:eastAsia="宋体" w:cs="宋体"/>
                <w:color w:val="000000"/>
                <w:sz w:val="16"/>
                <w:szCs w:val="16"/>
              </w:rPr>
              <w:t xml:space="preserve">4.00 </w:t>
            </w:r>
          </w:p>
        </w:tc>
        <w:tc>
          <w:tcPr>
            <w:tcW w:w="424"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896"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487"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30399</w:t>
            </w:r>
          </w:p>
        </w:tc>
        <w:tc>
          <w:tcPr>
            <w:tcW w:w="857"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其他对个人和家庭的补助</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30240</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税金及附加费用</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896"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487"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390" w:type="pct"/>
            <w:tcBorders>
              <w:top w:val="nil"/>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857"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463"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391"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30299</w:t>
            </w:r>
          </w:p>
        </w:tc>
        <w:tc>
          <w:tcPr>
            <w:tcW w:w="644" w:type="pct"/>
            <w:tcBorders>
              <w:top w:val="nil"/>
              <w:left w:val="nil"/>
              <w:bottom w:val="single" w:color="000000" w:sz="4" w:space="0"/>
              <w:right w:val="single" w:color="000000" w:sz="4" w:space="0"/>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其他商品和服务支出</w:t>
            </w:r>
          </w:p>
        </w:tc>
        <w:tc>
          <w:tcPr>
            <w:tcW w:w="442"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p>
        </w:tc>
        <w:tc>
          <w:tcPr>
            <w:tcW w:w="424"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896" w:type="pct"/>
            <w:tcBorders>
              <w:top w:val="nil"/>
              <w:left w:val="nil"/>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487" w:type="pct"/>
            <w:tcBorders>
              <w:top w:val="nil"/>
              <w:left w:val="nil"/>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255" w:hRule="atLeast"/>
        </w:trPr>
        <w:tc>
          <w:tcPr>
            <w:tcW w:w="1247" w:type="pct"/>
            <w:gridSpan w:val="2"/>
            <w:tcBorders>
              <w:top w:val="nil"/>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人员经费合计</w:t>
            </w:r>
          </w:p>
        </w:tc>
        <w:tc>
          <w:tcPr>
            <w:tcW w:w="463"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59.15</w:t>
            </w:r>
          </w:p>
        </w:tc>
        <w:tc>
          <w:tcPr>
            <w:tcW w:w="2800" w:type="pct"/>
            <w:gridSpan w:val="5"/>
            <w:tcBorders>
              <w:top w:val="nil"/>
              <w:left w:val="nil"/>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公用经费合计</w:t>
            </w:r>
          </w:p>
        </w:tc>
        <w:tc>
          <w:tcPr>
            <w:tcW w:w="487" w:type="pct"/>
            <w:tcBorders>
              <w:top w:val="nil"/>
              <w:left w:val="nil"/>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sz w:val="16"/>
                <w:szCs w:val="16"/>
              </w:rPr>
              <w:t>8.97</w:t>
            </w:r>
          </w:p>
        </w:tc>
      </w:tr>
      <w:tr>
        <w:tblPrEx>
          <w:tblCellMar>
            <w:top w:w="0" w:type="dxa"/>
            <w:left w:w="108" w:type="dxa"/>
            <w:bottom w:w="0" w:type="dxa"/>
            <w:right w:w="108" w:type="dxa"/>
          </w:tblCellMar>
        </w:tblPrEx>
        <w:trPr>
          <w:trHeight w:val="255" w:hRule="atLeast"/>
        </w:trPr>
        <w:tc>
          <w:tcPr>
            <w:tcW w:w="5000" w:type="pct"/>
            <w:gridSpan w:val="9"/>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注：本表反映部门本年度一般公共预算财政拨款基本支出明细情况。</w:t>
            </w:r>
          </w:p>
        </w:tc>
      </w:tr>
    </w:tbl>
    <w:p>
      <w:pPr>
        <w:rPr>
          <w:sz w:val="32"/>
          <w:szCs w:val="32"/>
        </w:rPr>
      </w:pPr>
    </w:p>
    <w:p>
      <w:pPr>
        <w:rPr>
          <w:sz w:val="32"/>
          <w:szCs w:val="32"/>
        </w:rPr>
      </w:pP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p>
    <w:p>
      <w:pPr>
        <w:widowControl/>
        <w:jc w:val="center"/>
        <w:textAlignment w:val="center"/>
        <w:rPr>
          <w:sz w:val="32"/>
          <w:szCs w:val="32"/>
        </w:rPr>
      </w:pPr>
      <w:r>
        <w:rPr>
          <w:rFonts w:hint="eastAsia"/>
          <w:sz w:val="32"/>
          <w:szCs w:val="32"/>
        </w:rPr>
        <w:t>一般公共预算财政拨款“三公”经费支出决算表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公开07表</w:t>
      </w:r>
    </w:p>
    <w:p>
      <w:pPr>
        <w:widowControl/>
        <w:textAlignment w:val="center"/>
        <w:rPr>
          <w:sz w:val="32"/>
          <w:szCs w:val="32"/>
        </w:rPr>
      </w:pPr>
      <w:r>
        <w:rPr>
          <w:rFonts w:hint="eastAsia" w:ascii="宋体" w:hAnsi="宋体" w:eastAsia="宋体" w:cs="宋体"/>
          <w:color w:val="000000"/>
          <w:kern w:val="0"/>
          <w:sz w:val="16"/>
          <w:szCs w:val="16"/>
          <w:lang w:bidi="ar"/>
        </w:rPr>
        <w:t>部门：湖南省林业局宣传中心                                                                                                                                           单位：万元</w:t>
      </w:r>
    </w:p>
    <w:tbl>
      <w:tblPr>
        <w:tblStyle w:val="5"/>
        <w:tblW w:w="4999" w:type="pct"/>
        <w:tblInd w:w="0" w:type="dxa"/>
        <w:shd w:val="clear" w:color="auto" w:fill="FFFFFF" w:themeFill="background1"/>
        <w:tblLayout w:type="autofit"/>
        <w:tblCellMar>
          <w:top w:w="0" w:type="dxa"/>
          <w:left w:w="108" w:type="dxa"/>
          <w:bottom w:w="0" w:type="dxa"/>
          <w:right w:w="108" w:type="dxa"/>
        </w:tblCellMar>
      </w:tblPr>
      <w:tblGrid>
        <w:gridCol w:w="1176"/>
        <w:gridCol w:w="1176"/>
        <w:gridCol w:w="1176"/>
        <w:gridCol w:w="1176"/>
        <w:gridCol w:w="1182"/>
        <w:gridCol w:w="1193"/>
        <w:gridCol w:w="1176"/>
        <w:gridCol w:w="1176"/>
        <w:gridCol w:w="1176"/>
        <w:gridCol w:w="1176"/>
        <w:gridCol w:w="1191"/>
        <w:gridCol w:w="1197"/>
      </w:tblGrid>
      <w:tr>
        <w:tblPrEx>
          <w:tblCellMar>
            <w:top w:w="0" w:type="dxa"/>
            <w:left w:w="108" w:type="dxa"/>
            <w:bottom w:w="0" w:type="dxa"/>
            <w:right w:w="108" w:type="dxa"/>
          </w:tblCellMar>
        </w:tblPrEx>
        <w:trPr>
          <w:trHeight w:val="300" w:hRule="atLeast"/>
        </w:trPr>
        <w:tc>
          <w:tcPr>
            <w:tcW w:w="2498" w:type="pct"/>
            <w:gridSpan w:val="6"/>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预算数</w:t>
            </w:r>
          </w:p>
        </w:tc>
        <w:tc>
          <w:tcPr>
            <w:tcW w:w="2501" w:type="pct"/>
            <w:gridSpan w:val="6"/>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决算数</w:t>
            </w:r>
          </w:p>
        </w:tc>
      </w:tr>
      <w:tr>
        <w:tblPrEx>
          <w:tblCellMar>
            <w:top w:w="0" w:type="dxa"/>
            <w:left w:w="108" w:type="dxa"/>
            <w:bottom w:w="0" w:type="dxa"/>
            <w:right w:w="108" w:type="dxa"/>
          </w:tblCellMar>
        </w:tblPrEx>
        <w:trPr>
          <w:trHeight w:val="300" w:hRule="atLeast"/>
        </w:trPr>
        <w:tc>
          <w:tcPr>
            <w:tcW w:w="41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41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因公出国（境）费</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公务用车购置及运行费</w:t>
            </w:r>
          </w:p>
        </w:tc>
        <w:tc>
          <w:tcPr>
            <w:tcW w:w="42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公务接待费</w:t>
            </w:r>
          </w:p>
        </w:tc>
        <w:tc>
          <w:tcPr>
            <w:tcW w:w="41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41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因公出国（境）费</w:t>
            </w:r>
          </w:p>
        </w:tc>
        <w:tc>
          <w:tcPr>
            <w:tcW w:w="1250"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公务用车购置及运行费</w:t>
            </w:r>
          </w:p>
        </w:tc>
        <w:tc>
          <w:tcPr>
            <w:tcW w:w="41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公务接待费</w:t>
            </w:r>
          </w:p>
        </w:tc>
      </w:tr>
      <w:tr>
        <w:tblPrEx>
          <w:tblCellMar>
            <w:top w:w="0" w:type="dxa"/>
            <w:left w:w="108" w:type="dxa"/>
            <w:bottom w:w="0" w:type="dxa"/>
            <w:right w:w="108" w:type="dxa"/>
          </w:tblCellMar>
        </w:tblPrEx>
        <w:trPr>
          <w:trHeight w:val="600"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1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小计</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公务用车购置费</w:t>
            </w:r>
          </w:p>
        </w:tc>
        <w:tc>
          <w:tcPr>
            <w:tcW w:w="41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公务用车运行费</w:t>
            </w: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1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1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小计</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公务用车购置费</w:t>
            </w:r>
          </w:p>
        </w:tc>
        <w:tc>
          <w:tcPr>
            <w:tcW w:w="41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公务用车运行费</w:t>
            </w:r>
          </w:p>
        </w:tc>
        <w:tc>
          <w:tcPr>
            <w:tcW w:w="41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w:t>
            </w:r>
          </w:p>
        </w:tc>
        <w:tc>
          <w:tcPr>
            <w:tcW w:w="41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w:t>
            </w:r>
          </w:p>
        </w:tc>
        <w:tc>
          <w:tcPr>
            <w:tcW w:w="42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7</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8</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9</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10</w:t>
            </w:r>
          </w:p>
        </w:tc>
        <w:tc>
          <w:tcPr>
            <w:tcW w:w="41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11</w:t>
            </w:r>
          </w:p>
        </w:tc>
        <w:tc>
          <w:tcPr>
            <w:tcW w:w="41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12</w:t>
            </w:r>
          </w:p>
        </w:tc>
      </w:tr>
      <w:tr>
        <w:tblPrEx>
          <w:tblCellMar>
            <w:top w:w="0" w:type="dxa"/>
            <w:left w:w="108" w:type="dxa"/>
            <w:bottom w:w="0" w:type="dxa"/>
            <w:right w:w="108" w:type="dxa"/>
          </w:tblCellMar>
        </w:tblPrEx>
        <w:trPr>
          <w:trHeight w:val="300" w:hRule="atLeast"/>
        </w:trPr>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w:t>
            </w:r>
            <w:r>
              <w:rPr>
                <w:rFonts w:ascii="宋体" w:hAnsi="宋体" w:eastAsia="宋体" w:cs="宋体"/>
                <w:color w:val="000000"/>
                <w:kern w:val="0"/>
                <w:sz w:val="16"/>
                <w:szCs w:val="16"/>
                <w:lang w:bidi="ar"/>
              </w:rPr>
              <w:t>5</w:t>
            </w:r>
            <w:r>
              <w:rPr>
                <w:rFonts w:hint="eastAsia" w:ascii="宋体" w:hAnsi="宋体" w:eastAsia="宋体" w:cs="宋体"/>
                <w:color w:val="000000"/>
                <w:kern w:val="0"/>
                <w:sz w:val="16"/>
                <w:szCs w:val="16"/>
                <w:lang w:bidi="ar"/>
              </w:rPr>
              <w:t>0</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0.00</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3.0</w:t>
            </w:r>
            <w:r>
              <w:rPr>
                <w:rFonts w:hint="eastAsia" w:ascii="宋体" w:hAnsi="宋体" w:eastAsia="宋体" w:cs="宋体"/>
                <w:color w:val="000000"/>
                <w:kern w:val="0"/>
                <w:sz w:val="16"/>
                <w:szCs w:val="16"/>
                <w:lang w:bidi="ar"/>
              </w:rPr>
              <w:t>0</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0.00</w:t>
            </w:r>
          </w:p>
        </w:tc>
        <w:tc>
          <w:tcPr>
            <w:tcW w:w="41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3.0</w:t>
            </w:r>
            <w:r>
              <w:rPr>
                <w:rFonts w:hint="eastAsia" w:ascii="宋体" w:hAnsi="宋体" w:eastAsia="宋体" w:cs="宋体"/>
                <w:color w:val="000000"/>
                <w:kern w:val="0"/>
                <w:sz w:val="16"/>
                <w:szCs w:val="16"/>
                <w:lang w:bidi="ar"/>
              </w:rPr>
              <w:t>0</w:t>
            </w:r>
          </w:p>
        </w:tc>
        <w:tc>
          <w:tcPr>
            <w:tcW w:w="42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1.50</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4.19</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0.00</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2.99</w:t>
            </w:r>
          </w:p>
        </w:tc>
        <w:tc>
          <w:tcPr>
            <w:tcW w:w="41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0.00</w:t>
            </w:r>
          </w:p>
        </w:tc>
        <w:tc>
          <w:tcPr>
            <w:tcW w:w="41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2.99</w:t>
            </w:r>
          </w:p>
        </w:tc>
        <w:tc>
          <w:tcPr>
            <w:tcW w:w="41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16"/>
                <w:szCs w:val="16"/>
              </w:rPr>
            </w:pPr>
            <w:r>
              <w:rPr>
                <w:rFonts w:ascii="宋体" w:hAnsi="宋体" w:eastAsia="宋体" w:cs="宋体"/>
                <w:color w:val="000000"/>
                <w:kern w:val="0"/>
                <w:sz w:val="16"/>
                <w:szCs w:val="16"/>
                <w:lang w:bidi="ar"/>
              </w:rPr>
              <w:t>1.19</w:t>
            </w:r>
          </w:p>
        </w:tc>
      </w:tr>
      <w:tr>
        <w:tblPrEx>
          <w:tblCellMar>
            <w:top w:w="0" w:type="dxa"/>
            <w:left w:w="108" w:type="dxa"/>
            <w:bottom w:w="0" w:type="dxa"/>
            <w:right w:w="108" w:type="dxa"/>
          </w:tblCellMar>
        </w:tblPrEx>
        <w:trPr>
          <w:trHeight w:val="600" w:hRule="atLeast"/>
        </w:trPr>
        <w:tc>
          <w:tcPr>
            <w:tcW w:w="5000" w:type="pct"/>
            <w:gridSpan w:val="12"/>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注：本表反映部门本年度“三公”经费支出预决算情况。其中，预算数为“三公”经费全年预算数，反映按规定程序调整后的预算数；决算数是包括当年一般公共预算财政拨款和以前年度结转资金安排的实际支出。</w:t>
            </w:r>
          </w:p>
        </w:tc>
      </w:tr>
    </w:tbl>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widowControl/>
        <w:jc w:val="center"/>
        <w:textAlignment w:val="center"/>
        <w:rPr>
          <w:sz w:val="32"/>
          <w:szCs w:val="32"/>
        </w:rPr>
      </w:pPr>
      <w:r>
        <w:rPr>
          <w:rFonts w:hint="eastAsia"/>
          <w:sz w:val="32"/>
          <w:szCs w:val="32"/>
        </w:rPr>
        <w:t>政府性基金预算财政拨款收入支出决算表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公开08表</w:t>
      </w:r>
    </w:p>
    <w:p>
      <w:pPr>
        <w:widowControl/>
        <w:textAlignment w:val="center"/>
        <w:rPr>
          <w:sz w:val="32"/>
          <w:szCs w:val="32"/>
        </w:rPr>
      </w:pPr>
      <w:r>
        <w:rPr>
          <w:rFonts w:hint="eastAsia" w:ascii="宋体" w:hAnsi="宋体" w:eastAsia="宋体" w:cs="宋体"/>
          <w:color w:val="000000"/>
          <w:kern w:val="0"/>
          <w:sz w:val="16"/>
          <w:szCs w:val="16"/>
          <w:lang w:bidi="ar"/>
        </w:rPr>
        <w:t>部门：湖南省林业局宣传中心                                                                                                                                           单位：万元</w:t>
      </w:r>
    </w:p>
    <w:tbl>
      <w:tblPr>
        <w:tblStyle w:val="5"/>
        <w:tblW w:w="4999" w:type="pct"/>
        <w:tblInd w:w="0" w:type="dxa"/>
        <w:shd w:val="clear" w:color="auto" w:fill="FFFFFF" w:themeFill="background1"/>
        <w:tblLayout w:type="autofit"/>
        <w:tblCellMar>
          <w:top w:w="0" w:type="dxa"/>
          <w:left w:w="108" w:type="dxa"/>
          <w:bottom w:w="0" w:type="dxa"/>
          <w:right w:w="108" w:type="dxa"/>
        </w:tblCellMar>
      </w:tblPr>
      <w:tblGrid>
        <w:gridCol w:w="1822"/>
        <w:gridCol w:w="2267"/>
        <w:gridCol w:w="1859"/>
        <w:gridCol w:w="1593"/>
        <w:gridCol w:w="1417"/>
        <w:gridCol w:w="1783"/>
        <w:gridCol w:w="1752"/>
        <w:gridCol w:w="1678"/>
      </w:tblGrid>
      <w:tr>
        <w:tblPrEx>
          <w:tblCellMar>
            <w:top w:w="0" w:type="dxa"/>
            <w:left w:w="108" w:type="dxa"/>
            <w:bottom w:w="0" w:type="dxa"/>
            <w:right w:w="108" w:type="dxa"/>
          </w:tblCellMar>
        </w:tblPrEx>
        <w:trPr>
          <w:trHeight w:val="300" w:hRule="atLeast"/>
        </w:trPr>
        <w:tc>
          <w:tcPr>
            <w:tcW w:w="1443"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656"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年初结转和结余</w:t>
            </w:r>
          </w:p>
        </w:tc>
        <w:tc>
          <w:tcPr>
            <w:tcW w:w="562"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本年收入</w:t>
            </w:r>
          </w:p>
        </w:tc>
        <w:tc>
          <w:tcPr>
            <w:tcW w:w="1747"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本年支出</w:t>
            </w:r>
          </w:p>
        </w:tc>
        <w:tc>
          <w:tcPr>
            <w:tcW w:w="59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年末结转和结余</w:t>
            </w:r>
          </w:p>
        </w:tc>
      </w:tr>
      <w:tr>
        <w:tblPrEx>
          <w:tblCellMar>
            <w:top w:w="0" w:type="dxa"/>
            <w:left w:w="108" w:type="dxa"/>
            <w:bottom w:w="0" w:type="dxa"/>
            <w:right w:w="108" w:type="dxa"/>
          </w:tblCellMar>
        </w:tblPrEx>
        <w:trPr>
          <w:trHeight w:val="312" w:hRule="atLeast"/>
        </w:trPr>
        <w:tc>
          <w:tcPr>
            <w:tcW w:w="643"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功能分类科目编码</w:t>
            </w:r>
          </w:p>
        </w:tc>
        <w:tc>
          <w:tcPr>
            <w:tcW w:w="80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65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62"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00"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小计</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基本支出</w:t>
            </w:r>
          </w:p>
        </w:tc>
        <w:tc>
          <w:tcPr>
            <w:tcW w:w="61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项目支出</w:t>
            </w:r>
          </w:p>
        </w:tc>
        <w:tc>
          <w:tcPr>
            <w:tcW w:w="59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0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5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62"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0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1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9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0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56"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62"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0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61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590"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1443"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65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562"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50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c>
          <w:tcPr>
            <w:tcW w:w="6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4</w:t>
            </w:r>
          </w:p>
        </w:tc>
        <w:tc>
          <w:tcPr>
            <w:tcW w:w="61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5</w:t>
            </w:r>
          </w:p>
        </w:tc>
        <w:tc>
          <w:tcPr>
            <w:tcW w:w="5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6</w:t>
            </w:r>
          </w:p>
        </w:tc>
      </w:tr>
      <w:tr>
        <w:tblPrEx>
          <w:tblCellMar>
            <w:top w:w="0" w:type="dxa"/>
            <w:left w:w="108" w:type="dxa"/>
            <w:bottom w:w="0" w:type="dxa"/>
            <w:right w:w="108" w:type="dxa"/>
          </w:tblCellMar>
        </w:tblPrEx>
        <w:trPr>
          <w:trHeight w:val="300" w:hRule="atLeast"/>
        </w:trPr>
        <w:tc>
          <w:tcPr>
            <w:tcW w:w="1443"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65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562"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50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6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61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5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300" w:hRule="atLeast"/>
        </w:trPr>
        <w:tc>
          <w:tcPr>
            <w:tcW w:w="643"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80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65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62"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0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62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61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59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5000" w:type="pct"/>
            <w:gridSpan w:val="8"/>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注：本表反映部门本年度政府性基金预算财政拨款收入、支出及结转和结余情况</w:t>
            </w:r>
          </w:p>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说明：本单位没有政府性基金收入，也没有使用政府性基金安排的支出，故本表无数据。</w:t>
            </w:r>
          </w:p>
        </w:tc>
      </w:tr>
    </w:tbl>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widowControl/>
        <w:jc w:val="center"/>
        <w:textAlignment w:val="center"/>
        <w:rPr>
          <w:sz w:val="32"/>
          <w:szCs w:val="32"/>
        </w:rPr>
      </w:pPr>
      <w:r>
        <w:rPr>
          <w:rFonts w:hint="eastAsia"/>
          <w:sz w:val="32"/>
          <w:szCs w:val="32"/>
        </w:rPr>
        <w:t>国有资本经营预算财政拨款支出决算表</w:t>
      </w:r>
    </w:p>
    <w:p>
      <w:pPr>
        <w:widowControl/>
        <w:jc w:val="righ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公开09表</w:t>
      </w:r>
    </w:p>
    <w:p>
      <w:pPr>
        <w:widowControl/>
        <w:textAlignment w:val="center"/>
        <w:rPr>
          <w:sz w:val="32"/>
          <w:szCs w:val="32"/>
        </w:rPr>
      </w:pPr>
      <w:r>
        <w:rPr>
          <w:rFonts w:hint="eastAsia" w:ascii="宋体" w:hAnsi="宋体" w:eastAsia="宋体" w:cs="宋体"/>
          <w:color w:val="000000"/>
          <w:kern w:val="0"/>
          <w:sz w:val="16"/>
          <w:szCs w:val="16"/>
          <w:lang w:bidi="ar"/>
        </w:rPr>
        <w:t>部门：湖南省林业局宣传中心                                                                                                                                           单位：万元</w:t>
      </w:r>
    </w:p>
    <w:tbl>
      <w:tblPr>
        <w:tblStyle w:val="5"/>
        <w:tblW w:w="4999" w:type="pct"/>
        <w:tblInd w:w="0" w:type="dxa"/>
        <w:shd w:val="clear" w:color="auto" w:fill="FFFFFF" w:themeFill="background1"/>
        <w:tblLayout w:type="autofit"/>
        <w:tblCellMar>
          <w:top w:w="0" w:type="dxa"/>
          <w:left w:w="108" w:type="dxa"/>
          <w:bottom w:w="0" w:type="dxa"/>
          <w:right w:w="108" w:type="dxa"/>
        </w:tblCellMar>
      </w:tblPr>
      <w:tblGrid>
        <w:gridCol w:w="1947"/>
        <w:gridCol w:w="4722"/>
        <w:gridCol w:w="2491"/>
        <w:gridCol w:w="2491"/>
        <w:gridCol w:w="2520"/>
      </w:tblGrid>
      <w:tr>
        <w:tblPrEx>
          <w:tblCellMar>
            <w:top w:w="0" w:type="dxa"/>
            <w:left w:w="108" w:type="dxa"/>
            <w:bottom w:w="0" w:type="dxa"/>
            <w:right w:w="108" w:type="dxa"/>
          </w:tblCellMar>
        </w:tblPrEx>
        <w:trPr>
          <w:trHeight w:val="300" w:hRule="atLeast"/>
        </w:trPr>
        <w:tc>
          <w:tcPr>
            <w:tcW w:w="2353"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w:t>
            </w:r>
          </w:p>
        </w:tc>
        <w:tc>
          <w:tcPr>
            <w:tcW w:w="2646" w:type="pct"/>
            <w:gridSpan w:val="3"/>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本年支出</w:t>
            </w:r>
          </w:p>
        </w:tc>
      </w:tr>
      <w:tr>
        <w:tblPrEx>
          <w:tblCellMar>
            <w:top w:w="0" w:type="dxa"/>
            <w:left w:w="108" w:type="dxa"/>
            <w:bottom w:w="0" w:type="dxa"/>
            <w:right w:w="108" w:type="dxa"/>
          </w:tblCellMar>
        </w:tblPrEx>
        <w:trPr>
          <w:trHeight w:val="312" w:hRule="atLeast"/>
        </w:trPr>
        <w:tc>
          <w:tcPr>
            <w:tcW w:w="68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功能分类科目编码</w:t>
            </w:r>
          </w:p>
        </w:tc>
        <w:tc>
          <w:tcPr>
            <w:tcW w:w="1665"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科目名称</w:t>
            </w:r>
          </w:p>
        </w:tc>
        <w:tc>
          <w:tcPr>
            <w:tcW w:w="87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879"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基本支出</w:t>
            </w:r>
          </w:p>
        </w:tc>
        <w:tc>
          <w:tcPr>
            <w:tcW w:w="887" w:type="pct"/>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项目支出</w:t>
            </w:r>
          </w:p>
        </w:tc>
      </w:tr>
      <w:tr>
        <w:tblPrEx>
          <w:tblCellMar>
            <w:top w:w="0" w:type="dxa"/>
            <w:left w:w="108" w:type="dxa"/>
            <w:bottom w:w="0" w:type="dxa"/>
            <w:right w:w="108" w:type="dxa"/>
          </w:tblCellMar>
        </w:tblPrEx>
        <w:trPr>
          <w:trHeight w:val="312" w:hRule="atLeast"/>
        </w:trPr>
        <w:tc>
          <w:tcPr>
            <w:tcW w:w="6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166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7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7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12" w:hRule="atLeast"/>
        </w:trPr>
        <w:tc>
          <w:tcPr>
            <w:tcW w:w="6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1665"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7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79"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c>
          <w:tcPr>
            <w:tcW w:w="887" w:type="pct"/>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2353"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栏次</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1</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2</w:t>
            </w:r>
          </w:p>
        </w:tc>
        <w:tc>
          <w:tcPr>
            <w:tcW w:w="8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3</w:t>
            </w:r>
          </w:p>
        </w:tc>
      </w:tr>
      <w:tr>
        <w:tblPrEx>
          <w:tblCellMar>
            <w:top w:w="0" w:type="dxa"/>
            <w:left w:w="108" w:type="dxa"/>
            <w:bottom w:w="0" w:type="dxa"/>
            <w:right w:w="108" w:type="dxa"/>
          </w:tblCellMar>
        </w:tblPrEx>
        <w:trPr>
          <w:trHeight w:val="300" w:hRule="atLeast"/>
        </w:trPr>
        <w:tc>
          <w:tcPr>
            <w:tcW w:w="2353" w:type="pct"/>
            <w:gridSpan w:val="2"/>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合计</w:t>
            </w: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ascii="宋体" w:hAnsi="宋体" w:eastAsia="宋体" w:cs="宋体"/>
                <w:b/>
                <w:bCs/>
                <w:color w:val="000000"/>
                <w:sz w:val="16"/>
                <w:szCs w:val="16"/>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b/>
                <w:bCs/>
                <w:color w:val="000000"/>
                <w:sz w:val="16"/>
                <w:szCs w:val="16"/>
              </w:rPr>
            </w:pPr>
          </w:p>
        </w:tc>
      </w:tr>
      <w:tr>
        <w:tblPrEx>
          <w:tblCellMar>
            <w:top w:w="0" w:type="dxa"/>
            <w:left w:w="108" w:type="dxa"/>
            <w:bottom w:w="0" w:type="dxa"/>
            <w:right w:w="108" w:type="dxa"/>
          </w:tblCellMar>
        </w:tblPrEx>
        <w:trPr>
          <w:trHeight w:val="300" w:hRule="atLeast"/>
        </w:trPr>
        <w:tc>
          <w:tcPr>
            <w:tcW w:w="6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1665"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lef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79"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c>
          <w:tcPr>
            <w:tcW w:w="887"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right"/>
              <w:rPr>
                <w:rFonts w:ascii="宋体" w:hAnsi="宋体" w:eastAsia="宋体" w:cs="宋体"/>
                <w:color w:val="000000"/>
                <w:sz w:val="16"/>
                <w:szCs w:val="16"/>
              </w:rPr>
            </w:pPr>
          </w:p>
        </w:tc>
      </w:tr>
      <w:tr>
        <w:tblPrEx>
          <w:tblCellMar>
            <w:top w:w="0" w:type="dxa"/>
            <w:left w:w="108" w:type="dxa"/>
            <w:bottom w:w="0" w:type="dxa"/>
            <w:right w:w="108" w:type="dxa"/>
          </w:tblCellMar>
        </w:tblPrEx>
        <w:trPr>
          <w:trHeight w:val="300" w:hRule="atLeast"/>
        </w:trPr>
        <w:tc>
          <w:tcPr>
            <w:tcW w:w="5000" w:type="pct"/>
            <w:gridSpan w:val="5"/>
            <w:tcBorders>
              <w:top w:val="nil"/>
              <w:left w:val="nil"/>
              <w:bottom w:val="nil"/>
              <w:right w:val="nil"/>
            </w:tcBorders>
            <w:shd w:val="clear" w:color="auto" w:fill="FFFFFF" w:themeFill="background1"/>
            <w:vAlign w:val="center"/>
          </w:tcPr>
          <w:p>
            <w:pPr>
              <w:widowControl/>
              <w:jc w:val="left"/>
              <w:textAlignment w:val="center"/>
              <w:rPr>
                <w:rFonts w:ascii="宋体" w:hAnsi="宋体" w:eastAsia="宋体" w:cs="宋体"/>
                <w:color w:val="000000"/>
                <w:kern w:val="0"/>
                <w:sz w:val="16"/>
                <w:szCs w:val="16"/>
                <w:lang w:bidi="ar"/>
              </w:rPr>
            </w:pPr>
            <w:r>
              <w:rPr>
                <w:rFonts w:hint="eastAsia" w:ascii="宋体" w:hAnsi="宋体" w:eastAsia="宋体" w:cs="宋体"/>
                <w:color w:val="000000"/>
                <w:kern w:val="0"/>
                <w:sz w:val="16"/>
                <w:szCs w:val="16"/>
                <w:lang w:bidi="ar"/>
              </w:rPr>
              <w:t>注：本表反映部门本年度国有资本经营预算财政拨款支出情况。</w:t>
            </w:r>
          </w:p>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lang w:bidi="ar"/>
              </w:rPr>
              <w:t>说明：本单位没有国有资本经营预算财政拨款收入，也没有使用国有资本经营预算财政拨款安排的支出，故本表无数据。</w:t>
            </w:r>
          </w:p>
        </w:tc>
      </w:tr>
    </w:tbl>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sectPr>
          <w:pgSz w:w="16838" w:h="11906" w:orient="landscape"/>
          <w:pgMar w:top="1800" w:right="1440" w:bottom="1800" w:left="1440" w:header="851" w:footer="992" w:gutter="0"/>
          <w:cols w:space="425" w:num="1"/>
          <w:docGrid w:type="lines" w:linePitch="312" w:charSpace="0"/>
        </w:sect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jc w:val="center"/>
        <w:rPr>
          <w:sz w:val="44"/>
          <w:szCs w:val="44"/>
        </w:rPr>
      </w:pPr>
      <w:r>
        <w:rPr>
          <w:rFonts w:hint="eastAsia"/>
          <w:sz w:val="44"/>
          <w:szCs w:val="44"/>
        </w:rPr>
        <w:t>第三部分</w:t>
      </w:r>
    </w:p>
    <w:p>
      <w:pPr>
        <w:jc w:val="center"/>
        <w:rPr>
          <w:sz w:val="44"/>
          <w:szCs w:val="44"/>
        </w:rPr>
      </w:pPr>
    </w:p>
    <w:p>
      <w:pPr>
        <w:jc w:val="center"/>
        <w:rPr>
          <w:sz w:val="44"/>
          <w:szCs w:val="44"/>
        </w:rPr>
      </w:pPr>
      <w:r>
        <w:rPr>
          <w:rFonts w:hint="eastAsia"/>
          <w:sz w:val="44"/>
          <w:szCs w:val="44"/>
        </w:rPr>
        <w:t>202</w:t>
      </w:r>
      <w:r>
        <w:rPr>
          <w:sz w:val="44"/>
          <w:szCs w:val="44"/>
        </w:rPr>
        <w:t>1</w:t>
      </w:r>
      <w:r>
        <w:rPr>
          <w:rFonts w:hint="eastAsia"/>
          <w:sz w:val="44"/>
          <w:szCs w:val="44"/>
        </w:rPr>
        <w:t>年度部门决算情况说明</w:t>
      </w: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一、收入支出决算总体情况说明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2021年度收、支总计266.77万元。与上年相比，增加106.78万元，增长66.74%，主要是因为项目支出增加。</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二、收入决算情况说明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2021年度收入合计265.45万元，其中：财政拨款收入795.94万元，占100%；上级补助收入0万元，占0%；事业收入0万元，占0%；经营收入0万元，占0%；附属单位上缴收入0万元，占0%；其他收入0万元，占0%。</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三、支出决算情况说明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2021年度支出合计227.87万元，其中：基本支出68.12万元，占29.89%；项目支出159.75万元，占70.11%；上缴上级支出0万元，占0%；经营支出0万元，占0%；对附属单位补助支出0万元，占0%。</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四、财政拨款收入支出决算总体情况说明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2021年度收、支总计266.77万元，与上年相比，增加106.78万元，增长66.74%，主要是因为项目支出增加。</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五、一般公共预算财政拨款支出决算情况说明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（一）财政拨款支出决算总体情况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2021年度财政拨款支出227.87万元，占本年支出合计的100%,与上年相比，财政拨款支出增加106.78万元，增长66.74%，主要是因为项目支出增加。</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（二）财政拨款支出决算结构情况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2021年度财政拨款支出227.87万元，主要用于以下方面：社会保障和就业支出3.66万元，占1.61%；卫生健康支出3.05万元，占1.33%；农林水支出221.16万元，占97.06%。</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（三）财政拨款支出决算具体情况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2021年度财政拨款支出年初预算数为141.75万元，支出决算数为227.87万元，完成年初预算的160.75%，其中：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1、社会保障和就业支出（类）行政事业单位养老支出（款）机关事业单位基本养老保险缴费支出（项）。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年初预算为4.9万元，支出决算为3.66万元，完成年初预算的74.69%，决算数小于年初预算数的主要原因是：虽然预算执行率不高，但该支出体量较小，属基本完成年初预算。</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2、卫生健康支出（类）行政事业单位医疗（款）机关事业单位医疗（项）。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年初预算为3.7万元，支出决算为3.05万元，完成年初预算的82.43%，决算数小于年初预算数的主要原因是：虽然预算执行率不高，但该支出体量较小，未支出绝对量较小。</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3、农林水支出（类）林业和草原（款）事业机构（项）。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年初预算为133.15万元，支出决算为118.15万元，完成年初预算的88.73%，决算数小于年初预算数的主要原因是：年中调出了事业机构。</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4、农林水支出（类）林业和草原（款）森林资源培育（项）。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年初预算为0万元，支出决算为20万元，决算数大于年初预算数的主要原因是：年中追加项目资金。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5、农林水支出（类）林业和草原（款）森林生态效益补偿（项）。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年初预算为0万元，支出决算为25万元，决算数大于年初预算数的主要原因是：年中追加公益林宣传项目。</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6、农林水支出（类）林业和草原（款）其他林业和草原支出（项）。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年初预算为0万元，支出决算为58.01万元，决算数大于年初预算数的主要原因是：年中进行了调整。</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六、一般公共预算财政拨款基本支出决算情况说明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财政拨款基本支出68.12万元，其中：人员经费59.15万元，占基本支出的86.83%，主要包括基本工资、津贴补贴、奖金、机关事业单位基本养老保险缴费、职业年金缴费、职工基本医疗保险缴费、其他社会保障缴费、住房公积金、其他工资福利支出；公用经费8.97万元，占基本支出的13.17%，主要包括办公费、印刷费、邮电费、差旅费、公务接待费、工会经费、公务用车运行维护费、其他交通费用。</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七、一般公共预算财政拨款“三公”经费支出决算情况说明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（一）“三公”经费财政拨款支出决算总体情况说明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2021年度“三公”经费财政拨款支出预算为4.5万元，支出决算为4.1</w:t>
      </w:r>
      <w:r>
        <w:rPr>
          <w:rFonts w:ascii="仿宋_GB2312" w:hAnsi="仿宋_GB2312" w:eastAsia="仿宋_GB2312" w:cs="仿宋_GB2312"/>
          <w:sz w:val="32"/>
          <w:szCs w:val="32"/>
        </w:rPr>
        <w:t>9</w:t>
      </w:r>
      <w:r>
        <w:rPr>
          <w:rFonts w:hint="eastAsia" w:ascii="仿宋_GB2312" w:hAnsi="仿宋_GB2312" w:eastAsia="仿宋_GB2312" w:cs="仿宋_GB2312"/>
          <w:sz w:val="32"/>
          <w:szCs w:val="32"/>
        </w:rPr>
        <w:t>万元，完成预算的9</w:t>
      </w:r>
      <w:r>
        <w:rPr>
          <w:rFonts w:ascii="仿宋_GB2312" w:hAnsi="仿宋_GB2312" w:eastAsia="仿宋_GB2312" w:cs="仿宋_GB2312"/>
          <w:sz w:val="32"/>
          <w:szCs w:val="32"/>
        </w:rPr>
        <w:t>3.11%</w:t>
      </w:r>
      <w:r>
        <w:rPr>
          <w:rFonts w:hint="eastAsia" w:ascii="仿宋_GB2312" w:hAnsi="仿宋_GB2312" w:eastAsia="仿宋_GB2312" w:cs="仿宋_GB2312"/>
          <w:sz w:val="32"/>
          <w:szCs w:val="32"/>
        </w:rPr>
        <w:t>，其中：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因公出国（境）费支出预算为0万元，支出决算为0万元，上年也未编制因公出国（境）费预算，未发生支出。</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务接待费支出预算为1.5万元，支出决算为1.19万元，完成预算的79.33%，决算数小于预算数的主要原因是响应相关政策减少公务接待，与上年相比减少0.23万元，减少16.02%，减少的主要原因是厉行节约，缩减公务接待费。</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公务用车购置费支出预算为0万元，支出决算为0万元，完成预算的0%，上年也未编制公务用车购置费预算，未发生支出。</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务用车运行维护费支出预算为3万元，支出决算为2.99万元，完成预算的99.67%，基本完成年初预算，与上年相比增加0.97万元，增长47.79%，增长的主要原因是公务用车实际开支增加，虽增幅较大，但增长数值较少符合实际。</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（二）“三公”经费财政拨款支出决算具体情况说明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2021年度“三公”经费财政拨款支出决算中，公务接待费支出决算1.19万元，占28.4%，因公出国（境）费支出决算0万元，占0%，公务用车购置费及运行维护费支出决算2.99万元，占71.6%。其中：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1、因公出国（境）费支出决算为0万元，全年安排因公出国（境）团组0个，累计0人次。</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2、公务接待费支出决算为1.19万元，全年共接待来访团组1</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个</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来宾7</w:t>
      </w:r>
      <w:r>
        <w:rPr>
          <w:rFonts w:ascii="仿宋_GB2312" w:hAnsi="仿宋_GB2312" w:eastAsia="仿宋_GB2312" w:cs="仿宋_GB2312"/>
          <w:sz w:val="32"/>
          <w:szCs w:val="32"/>
        </w:rPr>
        <w:t>5人次，</w:t>
      </w:r>
      <w:r>
        <w:rPr>
          <w:rFonts w:hint="eastAsia" w:ascii="仿宋_GB2312" w:hAnsi="仿宋_GB2312" w:eastAsia="仿宋_GB2312" w:cs="仿宋_GB2312"/>
          <w:sz w:val="32"/>
          <w:szCs w:val="32"/>
        </w:rPr>
        <w:t>主要是接待外地媒体及市县送稿发生的接待支出。</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3、公务用车购置费及运行维护费支出决算为2.99万元，其中：公务用车购置费0万元，更新</w:t>
      </w:r>
      <w:r>
        <w:rPr>
          <w:rFonts w:hint="eastAsia" w:ascii="仿宋_GB2312" w:hAnsi="仿宋_GB2312" w:eastAsia="仿宋_GB2312" w:cs="仿宋_GB2312"/>
          <w:sz w:val="32"/>
          <w:szCs w:val="32"/>
          <w:lang w:eastAsia="zh-CN"/>
        </w:rPr>
        <w:t>（购置</w:t>
      </w:r>
      <w:bookmarkStart w:id="0" w:name="_GoBack"/>
      <w:bookmarkEnd w:id="0"/>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公务用车0辆。公务用车运行维护费2.99万元，主要是用于林业宣传工作支出，截止2021年12月31日，我单位开支财政拨款的公务用车保有量为1辆。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八、政府性基金预算收入支出决算情况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本单位无政府性基金收支。</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九、机关运行经费支出说明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本部门2021年度机关运行经费支出8.97万元，比上年决算数减少6</w:t>
      </w:r>
      <w:r>
        <w:rPr>
          <w:rFonts w:ascii="仿宋_GB2312" w:hAnsi="仿宋_GB2312" w:eastAsia="仿宋_GB2312" w:cs="仿宋_GB2312"/>
          <w:sz w:val="32"/>
          <w:szCs w:val="32"/>
        </w:rPr>
        <w:t>.6万元，减少</w:t>
      </w:r>
      <w:r>
        <w:rPr>
          <w:rFonts w:hint="eastAsia" w:ascii="仿宋_GB2312" w:hAnsi="仿宋_GB2312" w:eastAsia="仿宋_GB2312" w:cs="仿宋_GB2312"/>
          <w:sz w:val="32"/>
          <w:szCs w:val="32"/>
        </w:rPr>
        <w:t>4</w:t>
      </w:r>
      <w:r>
        <w:rPr>
          <w:rFonts w:ascii="仿宋_GB2312" w:hAnsi="仿宋_GB2312" w:eastAsia="仿宋_GB2312" w:cs="仿宋_GB2312"/>
          <w:sz w:val="32"/>
          <w:szCs w:val="32"/>
        </w:rPr>
        <w:t>2.39%，</w:t>
      </w:r>
      <w:r>
        <w:rPr>
          <w:rFonts w:hint="eastAsia" w:ascii="仿宋_GB2312" w:hAnsi="仿宋_GB2312" w:eastAsia="仿宋_GB2312" w:cs="仿宋_GB2312"/>
          <w:sz w:val="32"/>
          <w:szCs w:val="32"/>
        </w:rPr>
        <w:t>主要原因是：人员调出。</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十、一般性支出情况说明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本部门开支会议费3.81万元，用于召开全省林业宣传工作会议，人数90人，内容为布置全省林业宣传工作；开支培训费0.38万元，未开展培训，人数0人，内容为干部继续教育培训及外出参加培训；未举办节庆、晚会、论坛、赛事活动，开支0万元。</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十一、政府采购支出说明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本部门2021年度政府采购支出总额0万元，其中：政府采购货物支出0万元、政府采购工程支出0万元、政府采购服务支出0万元。授予中小企业合同金额0万元。</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十二、国有资产占用情况说明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截至2021年12月31日,本单位共有车辆1辆，其中，其他用车1辆，其他用车主要是事业单位业务用车；单位价值50万元以上通用设备0台（套）；单位价值100万元以上专用设备0台（套）。</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十三、2021年度预算绩效情况的说明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见附件。</w:t>
      </w:r>
    </w:p>
    <w:p>
      <w:pPr>
        <w:rPr>
          <w:sz w:val="32"/>
          <w:szCs w:val="32"/>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r>
        <w:rPr>
          <w:rFonts w:hint="eastAsia"/>
          <w:sz w:val="44"/>
          <w:szCs w:val="44"/>
        </w:rPr>
        <w:t>第四部分</w:t>
      </w:r>
    </w:p>
    <w:p>
      <w:pPr>
        <w:jc w:val="center"/>
        <w:rPr>
          <w:sz w:val="44"/>
          <w:szCs w:val="44"/>
        </w:rPr>
      </w:pPr>
    </w:p>
    <w:p>
      <w:pPr>
        <w:jc w:val="center"/>
        <w:rPr>
          <w:sz w:val="44"/>
          <w:szCs w:val="44"/>
        </w:rPr>
      </w:pPr>
      <w:r>
        <w:rPr>
          <w:rFonts w:hint="eastAsia"/>
          <w:sz w:val="44"/>
          <w:szCs w:val="44"/>
        </w:rPr>
        <w:t>名词解释</w:t>
      </w: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color w:val="000000"/>
          <w:sz w:val="32"/>
          <w:szCs w:val="32"/>
        </w:rPr>
      </w:pPr>
      <w:r>
        <w:rPr>
          <w:rFonts w:eastAsia="仿宋_GB2312"/>
          <w:b/>
          <w:color w:val="000000"/>
          <w:sz w:val="32"/>
          <w:szCs w:val="32"/>
        </w:rPr>
        <w:t>一、</w:t>
      </w:r>
      <w:r>
        <w:rPr>
          <w:rFonts w:eastAsia="仿宋_GB2312"/>
          <w:b/>
          <w:sz w:val="32"/>
          <w:szCs w:val="32"/>
        </w:rPr>
        <w:t>财政</w:t>
      </w:r>
      <w:r>
        <w:rPr>
          <w:rFonts w:eastAsia="仿宋_GB2312"/>
          <w:b/>
          <w:color w:val="000000"/>
          <w:sz w:val="32"/>
          <w:szCs w:val="32"/>
        </w:rPr>
        <w:t>拨款收入：</w:t>
      </w:r>
      <w:r>
        <w:rPr>
          <w:rFonts w:eastAsia="仿宋_GB2312"/>
          <w:color w:val="000000"/>
          <w:sz w:val="32"/>
          <w:szCs w:val="32"/>
        </w:rPr>
        <w:t>是指级财政部门当年拨付的公共预算财政拨款和政府性基金预算财政拨款。  </w:t>
      </w:r>
    </w:p>
    <w:p>
      <w:pPr>
        <w:spacing w:line="360" w:lineRule="auto"/>
        <w:ind w:right="25" w:rightChars="12" w:firstLine="642" w:firstLineChars="200"/>
        <w:rPr>
          <w:rFonts w:eastAsia="仿宋_GB2312"/>
          <w:sz w:val="32"/>
          <w:szCs w:val="32"/>
        </w:rPr>
      </w:pPr>
      <w:r>
        <w:rPr>
          <w:rFonts w:eastAsia="仿宋_GB2312"/>
          <w:b/>
          <w:sz w:val="32"/>
          <w:szCs w:val="32"/>
        </w:rPr>
        <w:t>二、</w:t>
      </w:r>
      <w:r>
        <w:rPr>
          <w:rFonts w:eastAsia="仿宋_GB2312"/>
          <w:b/>
          <w:color w:val="000000"/>
          <w:sz w:val="32"/>
          <w:szCs w:val="32"/>
        </w:rPr>
        <w:t>基本支出：</w:t>
      </w:r>
      <w:r>
        <w:rPr>
          <w:rFonts w:eastAsia="仿宋_GB2312"/>
          <w:color w:val="000000"/>
          <w:sz w:val="32"/>
          <w:szCs w:val="32"/>
        </w:rPr>
        <w:t>是指为保障机构正常运转、完成日常工作任务而发生的人员支出和公用支出。</w:t>
      </w:r>
    </w:p>
    <w:p>
      <w:pPr>
        <w:spacing w:line="360" w:lineRule="auto"/>
        <w:ind w:right="25" w:rightChars="12" w:firstLine="642" w:firstLineChars="200"/>
        <w:rPr>
          <w:rFonts w:eastAsia="仿宋_GB2312"/>
          <w:sz w:val="32"/>
          <w:szCs w:val="32"/>
        </w:rPr>
      </w:pPr>
      <w:r>
        <w:rPr>
          <w:rFonts w:eastAsia="仿宋_GB2312"/>
          <w:b/>
          <w:sz w:val="32"/>
          <w:szCs w:val="32"/>
        </w:rPr>
        <w:t>三、</w:t>
      </w:r>
      <w:r>
        <w:rPr>
          <w:rFonts w:eastAsia="仿宋_GB2312"/>
          <w:b/>
          <w:color w:val="000000"/>
          <w:sz w:val="32"/>
          <w:szCs w:val="32"/>
        </w:rPr>
        <w:t>项目支出：</w:t>
      </w:r>
      <w:r>
        <w:rPr>
          <w:rFonts w:eastAsia="仿宋_GB2312"/>
          <w:color w:val="000000"/>
          <w:sz w:val="32"/>
          <w:szCs w:val="32"/>
        </w:rPr>
        <w:t>是指在基本支出之外为完成特定的行政工作任务或事业发展目标所发生的支出。</w:t>
      </w:r>
    </w:p>
    <w:p>
      <w:pPr>
        <w:spacing w:line="360" w:lineRule="auto"/>
        <w:ind w:right="25" w:rightChars="12" w:firstLine="642" w:firstLineChars="200"/>
        <w:rPr>
          <w:rFonts w:eastAsia="仿宋_GB2312"/>
          <w:sz w:val="32"/>
          <w:szCs w:val="32"/>
        </w:rPr>
      </w:pPr>
      <w:r>
        <w:rPr>
          <w:rFonts w:eastAsia="仿宋_GB2312"/>
          <w:b/>
          <w:sz w:val="32"/>
          <w:szCs w:val="32"/>
        </w:rPr>
        <w:t>四、三公经费：</w:t>
      </w:r>
      <w:r>
        <w:rPr>
          <w:rFonts w:eastAsia="仿宋_GB2312"/>
          <w:sz w:val="32"/>
          <w:szCs w:val="32"/>
        </w:rPr>
        <w:t>是指部门用财政拨款安排的因公出国（境）费、公务用车购置及运行维护费和公务接待费。</w:t>
      </w:r>
    </w:p>
    <w:p>
      <w:pPr>
        <w:spacing w:line="360" w:lineRule="auto"/>
        <w:ind w:right="25" w:rightChars="12" w:firstLine="642" w:firstLineChars="200"/>
        <w:rPr>
          <w:rFonts w:eastAsia="仿宋_GB2312"/>
          <w:color w:val="000000"/>
          <w:sz w:val="32"/>
          <w:szCs w:val="32"/>
        </w:rPr>
      </w:pPr>
      <w:r>
        <w:rPr>
          <w:rFonts w:eastAsia="仿宋_GB2312"/>
          <w:b/>
          <w:sz w:val="32"/>
          <w:szCs w:val="32"/>
        </w:rPr>
        <w:t>五、机关运行经费：</w:t>
      </w:r>
      <w:r>
        <w:rPr>
          <w:rFonts w:eastAsia="仿宋_GB2312"/>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autoSpaceDE w:val="0"/>
        <w:spacing w:line="360" w:lineRule="auto"/>
        <w:ind w:firstLine="66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b/>
          <w:bCs/>
          <w:sz w:val="32"/>
          <w:szCs w:val="32"/>
          <w:lang w:eastAsia="zh-CN"/>
        </w:rPr>
        <w:t>六</w:t>
      </w:r>
      <w:r>
        <w:rPr>
          <w:rFonts w:hint="default" w:ascii="Times New Roman" w:hAnsi="Times New Roman" w:eastAsia="仿宋_GB2312" w:cs="Times New Roman"/>
          <w:b/>
          <w:bCs/>
          <w:sz w:val="32"/>
          <w:szCs w:val="32"/>
          <w:lang w:eastAsia="zh-CN"/>
        </w:rPr>
        <w:t>、林业和草原</w:t>
      </w:r>
      <w:r>
        <w:rPr>
          <w:rFonts w:hint="eastAsia" w:ascii="Times New Roman" w:hAnsi="Times New Roman" w:eastAsia="仿宋_GB2312" w:cs="Times New Roman"/>
          <w:b/>
          <w:bCs/>
          <w:sz w:val="32"/>
          <w:szCs w:val="32"/>
          <w:lang w:eastAsia="zh-CN"/>
        </w:rPr>
        <w:t>：</w:t>
      </w:r>
      <w:r>
        <w:rPr>
          <w:rFonts w:hint="eastAsia" w:ascii="Times New Roman" w:hAnsi="Times New Roman" w:eastAsia="仿宋_GB2312" w:cs="Times New Roman"/>
          <w:sz w:val="32"/>
          <w:szCs w:val="32"/>
          <w:lang w:eastAsia="zh-CN"/>
        </w:rPr>
        <w:t>用于林业和草原方面的支出。</w:t>
      </w:r>
    </w:p>
    <w:p>
      <w:pPr>
        <w:autoSpaceDE w:val="0"/>
        <w:spacing w:line="360" w:lineRule="auto"/>
        <w:ind w:firstLine="660"/>
        <w:rPr>
          <w:rFonts w:eastAsia="仿宋_GB2312"/>
          <w:sz w:val="32"/>
          <w:szCs w:val="32"/>
        </w:rPr>
      </w:pPr>
      <w:r>
        <w:rPr>
          <w:rFonts w:eastAsia="仿宋_GB2312"/>
          <w:color w:val="000000"/>
          <w:sz w:val="32"/>
          <w:szCs w:val="32"/>
        </w:rPr>
        <w:t>　　</w:t>
      </w:r>
    </w:p>
    <w:p>
      <w:pPr>
        <w:rPr>
          <w:sz w:val="32"/>
          <w:szCs w:val="32"/>
        </w:rPr>
      </w:pPr>
    </w:p>
    <w:p>
      <w:pPr>
        <w:rPr>
          <w:sz w:val="32"/>
          <w:szCs w:val="32"/>
        </w:rPr>
      </w:pPr>
    </w:p>
    <w:p>
      <w:pPr>
        <w:rPr>
          <w:sz w:val="36"/>
          <w:szCs w:val="36"/>
        </w:rPr>
      </w:pPr>
    </w:p>
    <w:p>
      <w:pPr>
        <w:rPr>
          <w:sz w:val="36"/>
          <w:szCs w:val="36"/>
        </w:rPr>
      </w:pPr>
    </w:p>
    <w:p>
      <w:pPr>
        <w:rPr>
          <w:sz w:val="36"/>
          <w:szCs w:val="36"/>
        </w:rPr>
      </w:pPr>
    </w:p>
    <w:p>
      <w:pPr>
        <w:rPr>
          <w:sz w:val="36"/>
          <w:szCs w:val="36"/>
        </w:rPr>
      </w:pPr>
    </w:p>
    <w:p>
      <w:pPr>
        <w:rPr>
          <w:sz w:val="36"/>
          <w:szCs w:val="36"/>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p>
    <w:p>
      <w:pPr>
        <w:jc w:val="center"/>
        <w:rPr>
          <w:sz w:val="44"/>
          <w:szCs w:val="44"/>
        </w:rPr>
      </w:pPr>
      <w:r>
        <w:rPr>
          <w:rFonts w:hint="eastAsia"/>
          <w:sz w:val="44"/>
          <w:szCs w:val="44"/>
        </w:rPr>
        <w:t>第五部分</w:t>
      </w:r>
    </w:p>
    <w:p>
      <w:pPr>
        <w:jc w:val="center"/>
        <w:rPr>
          <w:sz w:val="44"/>
          <w:szCs w:val="44"/>
        </w:rPr>
      </w:pPr>
    </w:p>
    <w:p>
      <w:pPr>
        <w:spacing w:line="360" w:lineRule="auto"/>
        <w:jc w:val="center"/>
        <w:rPr>
          <w:rFonts w:eastAsia="仿宋_GB2312"/>
          <w:b/>
          <w:color w:val="000000"/>
          <w:sz w:val="32"/>
          <w:szCs w:val="32"/>
        </w:rPr>
      </w:pPr>
      <w:r>
        <w:rPr>
          <w:rFonts w:hint="eastAsia" w:eastAsia="仿宋_GB2312"/>
          <w:sz w:val="44"/>
          <w:szCs w:val="44"/>
        </w:rPr>
        <w:t>附件</w:t>
      </w: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spacing w:line="360" w:lineRule="auto"/>
        <w:ind w:firstLine="642" w:firstLineChars="200"/>
        <w:rPr>
          <w:rFonts w:eastAsia="仿宋_GB2312"/>
          <w:b/>
          <w:color w:val="000000"/>
          <w:sz w:val="32"/>
          <w:szCs w:val="32"/>
        </w:rPr>
      </w:pPr>
    </w:p>
    <w:p>
      <w:pPr>
        <w:rPr>
          <w:sz w:val="36"/>
          <w:szCs w:val="36"/>
        </w:rPr>
      </w:pPr>
    </w:p>
    <w:p>
      <w:pPr>
        <w:rPr>
          <w:sz w:val="36"/>
          <w:szCs w:val="36"/>
        </w:rPr>
      </w:pPr>
    </w:p>
    <w:p>
      <w:pPr>
        <w:rPr>
          <w:sz w:val="36"/>
          <w:szCs w:val="36"/>
        </w:rPr>
      </w:pPr>
    </w:p>
    <w:p>
      <w:pPr>
        <w:rPr>
          <w:sz w:val="36"/>
          <w:szCs w:val="36"/>
        </w:rPr>
      </w:pPr>
    </w:p>
    <w:p>
      <w:pPr>
        <w:rPr>
          <w:sz w:val="36"/>
          <w:szCs w:val="36"/>
        </w:rPr>
      </w:pPr>
    </w:p>
    <w:p>
      <w:pPr>
        <w:rPr>
          <w:sz w:val="36"/>
          <w:szCs w:val="36"/>
        </w:rPr>
      </w:pPr>
    </w:p>
    <w:p>
      <w:pPr>
        <w:rPr>
          <w:sz w:val="32"/>
          <w:szCs w:val="32"/>
        </w:rPr>
      </w:pPr>
      <w:r>
        <w:rPr>
          <w:rFonts w:hint="eastAsia"/>
          <w:sz w:val="32"/>
          <w:szCs w:val="32"/>
        </w:rPr>
        <w:t>附件</w:t>
      </w:r>
    </w:p>
    <w:p>
      <w:pPr>
        <w:jc w:val="center"/>
        <w:rPr>
          <w:rFonts w:ascii="宋体" w:hAnsi="宋体" w:eastAsia="宋体" w:cs="宋体"/>
          <w:b/>
          <w:bCs/>
          <w:sz w:val="44"/>
          <w:szCs w:val="44"/>
        </w:rPr>
      </w:pPr>
    </w:p>
    <w:p>
      <w:pPr>
        <w:jc w:val="center"/>
        <w:rPr>
          <w:rFonts w:ascii="宋体" w:hAnsi="宋体" w:eastAsia="宋体" w:cs="宋体"/>
          <w:b/>
          <w:bCs/>
          <w:sz w:val="44"/>
          <w:szCs w:val="44"/>
        </w:rPr>
      </w:pPr>
      <w:r>
        <w:rPr>
          <w:rFonts w:hint="eastAsia" w:ascii="宋体" w:hAnsi="宋体" w:eastAsia="宋体" w:cs="宋体"/>
          <w:b/>
          <w:bCs/>
          <w:sz w:val="44"/>
          <w:szCs w:val="44"/>
        </w:rPr>
        <w:t>202</w:t>
      </w:r>
      <w:r>
        <w:rPr>
          <w:rFonts w:ascii="宋体" w:hAnsi="宋体" w:eastAsia="宋体" w:cs="宋体"/>
          <w:b/>
          <w:bCs/>
          <w:sz w:val="44"/>
          <w:szCs w:val="44"/>
        </w:rPr>
        <w:t>1</w:t>
      </w:r>
      <w:r>
        <w:rPr>
          <w:rFonts w:hint="eastAsia" w:ascii="宋体" w:hAnsi="宋体" w:eastAsia="宋体" w:cs="宋体"/>
          <w:b/>
          <w:bCs/>
          <w:sz w:val="44"/>
          <w:szCs w:val="44"/>
        </w:rPr>
        <w:t>年度湖南省林业局宣传中心</w:t>
      </w:r>
    </w:p>
    <w:p>
      <w:pPr>
        <w:jc w:val="center"/>
        <w:rPr>
          <w:rFonts w:ascii="宋体" w:hAnsi="宋体" w:eastAsia="宋体" w:cs="宋体"/>
          <w:b/>
          <w:bCs/>
          <w:sz w:val="44"/>
          <w:szCs w:val="44"/>
        </w:rPr>
      </w:pPr>
      <w:r>
        <w:rPr>
          <w:rFonts w:hint="eastAsia" w:ascii="宋体" w:hAnsi="宋体" w:eastAsia="宋体" w:cs="宋体"/>
          <w:b/>
          <w:bCs/>
          <w:sz w:val="44"/>
          <w:szCs w:val="44"/>
        </w:rPr>
        <w:t>整体支出绩效自评报告</w:t>
      </w:r>
    </w:p>
    <w:p>
      <w:pPr>
        <w:rPr>
          <w:rFonts w:ascii="宋体" w:hAnsi="宋体" w:eastAsia="宋体" w:cs="宋体"/>
          <w:b/>
          <w:sz w:val="36"/>
          <w:szCs w:val="36"/>
        </w:rPr>
      </w:pP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一、基本情况</w:t>
      </w:r>
    </w:p>
    <w:p>
      <w:pPr>
        <w:numPr>
          <w:ilvl w:val="0"/>
          <w:numId w:val="1"/>
        </w:numPr>
        <w:spacing w:line="600" w:lineRule="exact"/>
        <w:ind w:firstLine="642"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单位基本情况</w:t>
      </w:r>
    </w:p>
    <w:p>
      <w:pPr>
        <w:spacing w:line="600" w:lineRule="exact"/>
        <w:rPr>
          <w:rFonts w:ascii="仿宋_GB2312" w:hAnsi="仿宋_GB2312" w:eastAsia="仿宋_GB2312" w:cs="仿宋_GB2312"/>
          <w:sz w:val="32"/>
          <w:szCs w:val="32"/>
        </w:rPr>
      </w:pPr>
      <w:r>
        <w:rPr>
          <w:rFonts w:hint="eastAsia" w:ascii="仿宋_GB2312" w:hAnsi="仿宋_GB2312" w:eastAsia="仿宋_GB2312" w:cs="仿宋_GB2312"/>
          <w:b/>
          <w:sz w:val="32"/>
          <w:szCs w:val="32"/>
        </w:rPr>
        <w:t xml:space="preserve">   </w:t>
      </w:r>
      <w:r>
        <w:rPr>
          <w:rFonts w:hint="eastAsia" w:ascii="仿宋_GB2312" w:hAnsi="仿宋_GB2312" w:eastAsia="仿宋_GB2312" w:cs="仿宋_GB2312"/>
          <w:sz w:val="32"/>
          <w:szCs w:val="32"/>
        </w:rPr>
        <w:t xml:space="preserve"> 宣传中心是经省编办批准成立的正处级公益二类事业单位，核定差额拨款事业编制4名。主要负责全省林业宣传，生态文化建设，涉林舆情监控与处置等工作。</w:t>
      </w:r>
    </w:p>
    <w:p>
      <w:pPr>
        <w:pStyle w:val="12"/>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二、一般公共预算支出情况</w:t>
      </w:r>
    </w:p>
    <w:p>
      <w:pPr>
        <w:pStyle w:val="12"/>
        <w:spacing w:line="600" w:lineRule="exact"/>
        <w:ind w:firstLine="643"/>
        <w:rPr>
          <w:rFonts w:ascii="仿宋_GB2312" w:hAnsi="仿宋_GB2312" w:eastAsia="仿宋_GB2312" w:cs="仿宋_GB2312"/>
          <w:b/>
          <w:sz w:val="32"/>
          <w:szCs w:val="32"/>
        </w:rPr>
      </w:pPr>
      <w:r>
        <w:rPr>
          <w:rFonts w:hint="eastAsia" w:ascii="仿宋_GB2312" w:hAnsi="仿宋_GB2312" w:eastAsia="仿宋_GB2312" w:cs="仿宋_GB2312"/>
          <w:b/>
          <w:sz w:val="32"/>
          <w:szCs w:val="32"/>
        </w:rPr>
        <w:t>（一）基本支出情况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年基本支出</w:t>
      </w:r>
      <w:r>
        <w:rPr>
          <w:rFonts w:ascii="仿宋_GB2312" w:hAnsi="仿宋_GB2312" w:eastAsia="仿宋_GB2312" w:cs="仿宋_GB2312"/>
          <w:sz w:val="32"/>
          <w:szCs w:val="32"/>
        </w:rPr>
        <w:t>681173.26</w:t>
      </w:r>
      <w:r>
        <w:rPr>
          <w:rFonts w:hint="eastAsia" w:ascii="仿宋_GB2312" w:hAnsi="仿宋_GB2312" w:eastAsia="仿宋_GB2312" w:cs="仿宋_GB2312"/>
          <w:sz w:val="32"/>
          <w:szCs w:val="32"/>
        </w:rPr>
        <w:t>元，其中人员经费</w:t>
      </w:r>
      <w:r>
        <w:rPr>
          <w:rFonts w:ascii="仿宋_GB2312" w:hAnsi="仿宋_GB2312" w:eastAsia="仿宋_GB2312" w:cs="仿宋_GB2312"/>
          <w:sz w:val="32"/>
          <w:szCs w:val="32"/>
        </w:rPr>
        <w:t>591520.03</w:t>
      </w:r>
      <w:r>
        <w:rPr>
          <w:rFonts w:hint="eastAsia" w:ascii="仿宋_GB2312" w:hAnsi="仿宋_GB2312" w:eastAsia="仿宋_GB2312" w:cs="仿宋_GB2312"/>
          <w:sz w:val="32"/>
          <w:szCs w:val="32"/>
        </w:rPr>
        <w:t>元：基本工资</w:t>
      </w:r>
      <w:r>
        <w:rPr>
          <w:rFonts w:ascii="仿宋_GB2312" w:hAnsi="仿宋_GB2312" w:eastAsia="仿宋_GB2312" w:cs="仿宋_GB2312"/>
          <w:sz w:val="32"/>
          <w:szCs w:val="32"/>
        </w:rPr>
        <w:t>169500.00</w:t>
      </w:r>
      <w:r>
        <w:rPr>
          <w:rFonts w:hint="eastAsia" w:ascii="仿宋_GB2312" w:hAnsi="仿宋_GB2312" w:eastAsia="仿宋_GB2312" w:cs="仿宋_GB2312"/>
          <w:sz w:val="32"/>
          <w:szCs w:val="32"/>
        </w:rPr>
        <w:t>元，津贴补贴</w:t>
      </w:r>
      <w:r>
        <w:rPr>
          <w:rFonts w:ascii="仿宋_GB2312" w:hAnsi="仿宋_GB2312" w:eastAsia="仿宋_GB2312" w:cs="仿宋_GB2312"/>
          <w:sz w:val="32"/>
          <w:szCs w:val="32"/>
        </w:rPr>
        <w:t>165600.00</w:t>
      </w:r>
      <w:r>
        <w:rPr>
          <w:rFonts w:hint="eastAsia" w:ascii="仿宋_GB2312" w:hAnsi="仿宋_GB2312" w:eastAsia="仿宋_GB2312" w:cs="仿宋_GB2312"/>
          <w:sz w:val="32"/>
          <w:szCs w:val="32"/>
        </w:rPr>
        <w:t>元，奖金</w:t>
      </w:r>
      <w:r>
        <w:rPr>
          <w:rFonts w:ascii="仿宋_GB2312" w:hAnsi="仿宋_GB2312" w:eastAsia="仿宋_GB2312" w:cs="仿宋_GB2312"/>
          <w:sz w:val="32"/>
          <w:szCs w:val="32"/>
        </w:rPr>
        <w:t>125937.93</w:t>
      </w:r>
      <w:r>
        <w:rPr>
          <w:rFonts w:hint="eastAsia" w:ascii="仿宋_GB2312" w:hAnsi="仿宋_GB2312" w:eastAsia="仿宋_GB2312" w:cs="仿宋_GB2312"/>
          <w:sz w:val="32"/>
          <w:szCs w:val="32"/>
        </w:rPr>
        <w:t>元，机关事业单位基本养老保险缴费</w:t>
      </w:r>
      <w:r>
        <w:rPr>
          <w:rFonts w:ascii="仿宋_GB2312" w:hAnsi="仿宋_GB2312" w:eastAsia="仿宋_GB2312" w:cs="仿宋_GB2312"/>
          <w:sz w:val="32"/>
          <w:szCs w:val="32"/>
        </w:rPr>
        <w:t>36614.72元</w:t>
      </w:r>
      <w:r>
        <w:rPr>
          <w:rFonts w:hint="eastAsia" w:ascii="仿宋_GB2312" w:hAnsi="仿宋_GB2312" w:eastAsia="仿宋_GB2312" w:cs="仿宋_GB2312"/>
          <w:sz w:val="32"/>
          <w:szCs w:val="32"/>
        </w:rPr>
        <w:t>，职工基本医疗保险缴费</w:t>
      </w:r>
      <w:r>
        <w:rPr>
          <w:rFonts w:ascii="仿宋_GB2312" w:hAnsi="仿宋_GB2312" w:eastAsia="仿宋_GB2312" w:cs="仿宋_GB2312"/>
          <w:sz w:val="32"/>
          <w:szCs w:val="32"/>
        </w:rPr>
        <w:t>30542.88元，</w:t>
      </w:r>
      <w:r>
        <w:rPr>
          <w:rFonts w:hint="eastAsia" w:ascii="仿宋_GB2312" w:hAnsi="仿宋_GB2312" w:eastAsia="仿宋_GB2312" w:cs="仿宋_GB2312"/>
          <w:sz w:val="32"/>
          <w:szCs w:val="32"/>
        </w:rPr>
        <w:t>其他社会保障缴费</w:t>
      </w:r>
      <w:r>
        <w:rPr>
          <w:rFonts w:ascii="仿宋_GB2312" w:hAnsi="仿宋_GB2312" w:eastAsia="仿宋_GB2312" w:cs="仿宋_GB2312"/>
          <w:sz w:val="32"/>
          <w:szCs w:val="32"/>
        </w:rPr>
        <w:t>4824.50元，</w:t>
      </w:r>
      <w:r>
        <w:rPr>
          <w:rFonts w:hint="eastAsia" w:ascii="仿宋_GB2312" w:hAnsi="仿宋_GB2312" w:eastAsia="仿宋_GB2312" w:cs="仿宋_GB2312"/>
          <w:sz w:val="32"/>
          <w:szCs w:val="32"/>
        </w:rPr>
        <w:t>住房公积金</w:t>
      </w:r>
      <w:r>
        <w:rPr>
          <w:rFonts w:ascii="仿宋_GB2312" w:hAnsi="仿宋_GB2312" w:eastAsia="仿宋_GB2312" w:cs="仿宋_GB2312"/>
          <w:sz w:val="32"/>
          <w:szCs w:val="32"/>
        </w:rPr>
        <w:t>58500.00元</w:t>
      </w:r>
      <w:r>
        <w:rPr>
          <w:rFonts w:hint="eastAsia" w:ascii="仿宋_GB2312" w:hAnsi="仿宋_GB2312" w:eastAsia="仿宋_GB2312" w:cs="仿宋_GB2312"/>
          <w:sz w:val="32"/>
          <w:szCs w:val="32"/>
        </w:rPr>
        <w:t>；公用经费</w:t>
      </w:r>
      <w:r>
        <w:rPr>
          <w:rFonts w:ascii="仿宋_GB2312" w:hAnsi="仿宋_GB2312" w:eastAsia="仿宋_GB2312" w:cs="仿宋_GB2312"/>
          <w:sz w:val="32"/>
          <w:szCs w:val="32"/>
        </w:rPr>
        <w:t>89653.23</w:t>
      </w:r>
      <w:r>
        <w:rPr>
          <w:rFonts w:hint="eastAsia" w:ascii="仿宋_GB2312" w:hAnsi="仿宋_GB2312" w:eastAsia="仿宋_GB2312" w:cs="仿宋_GB2312"/>
          <w:sz w:val="32"/>
          <w:szCs w:val="32"/>
        </w:rPr>
        <w:t>元：包括培训费20</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.00元，公务接待费</w:t>
      </w:r>
      <w:r>
        <w:rPr>
          <w:rFonts w:ascii="仿宋_GB2312" w:hAnsi="仿宋_GB2312" w:eastAsia="仿宋_GB2312" w:cs="仿宋_GB2312"/>
          <w:sz w:val="32"/>
          <w:szCs w:val="32"/>
        </w:rPr>
        <w:t>11945.00</w:t>
      </w:r>
      <w:r>
        <w:rPr>
          <w:rFonts w:hint="eastAsia" w:ascii="仿宋_GB2312" w:hAnsi="仿宋_GB2312" w:eastAsia="仿宋_GB2312" w:cs="仿宋_GB2312"/>
          <w:sz w:val="32"/>
          <w:szCs w:val="32"/>
        </w:rPr>
        <w:t>元，工会经费</w:t>
      </w:r>
      <w:r>
        <w:rPr>
          <w:rFonts w:ascii="仿宋_GB2312" w:hAnsi="仿宋_GB2312" w:eastAsia="仿宋_GB2312" w:cs="仿宋_GB2312"/>
          <w:sz w:val="32"/>
          <w:szCs w:val="32"/>
        </w:rPr>
        <w:t>7570.18</w:t>
      </w:r>
      <w:r>
        <w:rPr>
          <w:rFonts w:hint="eastAsia" w:ascii="仿宋_GB2312" w:hAnsi="仿宋_GB2312" w:eastAsia="仿宋_GB2312" w:cs="仿宋_GB2312"/>
          <w:sz w:val="32"/>
          <w:szCs w:val="32"/>
        </w:rPr>
        <w:t>元，公务用车运行维护费</w:t>
      </w:r>
      <w:r>
        <w:rPr>
          <w:rFonts w:ascii="仿宋_GB2312" w:hAnsi="仿宋_GB2312" w:eastAsia="仿宋_GB2312" w:cs="仿宋_GB2312"/>
          <w:sz w:val="32"/>
          <w:szCs w:val="32"/>
        </w:rPr>
        <w:t>29938.05</w:t>
      </w:r>
      <w:r>
        <w:rPr>
          <w:rFonts w:hint="eastAsia" w:ascii="仿宋_GB2312" w:hAnsi="仿宋_GB2312" w:eastAsia="仿宋_GB2312" w:cs="仿宋_GB2312"/>
          <w:sz w:val="32"/>
          <w:szCs w:val="32"/>
        </w:rPr>
        <w:t>元，其他交通费用</w:t>
      </w:r>
      <w:r>
        <w:rPr>
          <w:rFonts w:ascii="仿宋_GB2312" w:hAnsi="仿宋_GB2312" w:eastAsia="仿宋_GB2312" w:cs="仿宋_GB2312"/>
          <w:sz w:val="32"/>
          <w:szCs w:val="32"/>
        </w:rPr>
        <w:t>40000.00元</w:t>
      </w:r>
      <w:r>
        <w:rPr>
          <w:rFonts w:hint="eastAsia" w:ascii="仿宋_GB2312" w:hAnsi="仿宋_GB2312" w:eastAsia="仿宋_GB2312" w:cs="仿宋_GB2312"/>
          <w:sz w:val="32"/>
          <w:szCs w:val="32"/>
        </w:rPr>
        <w:t>。</w:t>
      </w:r>
    </w:p>
    <w:p>
      <w:pPr>
        <w:pStyle w:val="12"/>
        <w:spacing w:line="600" w:lineRule="exact"/>
        <w:ind w:firstLine="643"/>
        <w:rPr>
          <w:rFonts w:ascii="仿宋_GB2312" w:hAnsi="仿宋_GB2312" w:eastAsia="仿宋_GB2312" w:cs="仿宋_GB2312"/>
          <w:b/>
          <w:sz w:val="32"/>
          <w:szCs w:val="32"/>
        </w:rPr>
      </w:pPr>
      <w:r>
        <w:rPr>
          <w:rFonts w:hint="eastAsia" w:ascii="仿宋_GB2312" w:hAnsi="仿宋_GB2312" w:eastAsia="仿宋_GB2312" w:cs="仿宋_GB2312"/>
          <w:b/>
          <w:sz w:val="32"/>
          <w:szCs w:val="32"/>
        </w:rPr>
        <w:t>（二）项目支出情况</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年度收到2021年省级第二批森林生态效益补偿资金</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00000.00元，支出</w:t>
      </w:r>
      <w:r>
        <w:rPr>
          <w:rFonts w:ascii="仿宋_GB2312" w:hAnsi="仿宋_GB2312" w:eastAsia="仿宋_GB2312" w:cs="仿宋_GB2312"/>
          <w:sz w:val="32"/>
          <w:szCs w:val="32"/>
        </w:rPr>
        <w:t>250000.00</w:t>
      </w:r>
      <w:r>
        <w:rPr>
          <w:rFonts w:hint="eastAsia" w:ascii="仿宋_GB2312" w:hAnsi="仿宋_GB2312" w:eastAsia="仿宋_GB2312" w:cs="仿宋_GB2312"/>
          <w:sz w:val="32"/>
          <w:szCs w:val="32"/>
        </w:rPr>
        <w:t>元，结余</w:t>
      </w:r>
      <w:r>
        <w:rPr>
          <w:rFonts w:ascii="仿宋_GB2312" w:hAnsi="仿宋_GB2312" w:eastAsia="仿宋_GB2312" w:cs="仿宋_GB2312"/>
          <w:sz w:val="32"/>
          <w:szCs w:val="32"/>
        </w:rPr>
        <w:t>50000.00</w:t>
      </w:r>
      <w:r>
        <w:rPr>
          <w:rFonts w:hint="eastAsia" w:ascii="仿宋_GB2312" w:hAnsi="仿宋_GB2312" w:eastAsia="仿宋_GB2312" w:cs="仿宋_GB2312"/>
          <w:sz w:val="32"/>
          <w:szCs w:val="32"/>
        </w:rPr>
        <w:t>元；2021年义务植树基地资金</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0000.00元，支出</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0000.00元；林业宣传工作经费专项600000.00元，支出</w:t>
      </w:r>
      <w:r>
        <w:rPr>
          <w:rFonts w:ascii="仿宋_GB2312" w:hAnsi="仿宋_GB2312" w:eastAsia="仿宋_GB2312" w:cs="仿宋_GB2312"/>
          <w:sz w:val="32"/>
          <w:szCs w:val="32"/>
        </w:rPr>
        <w:t>554456.12</w:t>
      </w:r>
      <w:r>
        <w:rPr>
          <w:rFonts w:hint="eastAsia" w:ascii="仿宋_GB2312" w:hAnsi="仿宋_GB2312" w:eastAsia="仿宋_GB2312" w:cs="仿宋_GB2312"/>
          <w:sz w:val="32"/>
          <w:szCs w:val="32"/>
        </w:rPr>
        <w:t>元，结余</w:t>
      </w:r>
      <w:r>
        <w:rPr>
          <w:rFonts w:ascii="仿宋_GB2312" w:hAnsi="仿宋_GB2312" w:eastAsia="仿宋_GB2312" w:cs="仿宋_GB2312"/>
          <w:sz w:val="32"/>
          <w:szCs w:val="32"/>
        </w:rPr>
        <w:t>45543.80</w:t>
      </w:r>
      <w:r>
        <w:rPr>
          <w:rFonts w:hint="eastAsia" w:ascii="仿宋_GB2312" w:hAnsi="仿宋_GB2312" w:eastAsia="仿宋_GB2312" w:cs="仿宋_GB2312"/>
          <w:sz w:val="32"/>
          <w:szCs w:val="32"/>
        </w:rPr>
        <w:t>元；2021年征占林地异地植被恢复、森林管护及重点工作资金</w:t>
      </w:r>
      <w:r>
        <w:rPr>
          <w:rFonts w:ascii="仿宋_GB2312" w:hAnsi="仿宋_GB2312" w:eastAsia="仿宋_GB2312" w:cs="仿宋_GB2312"/>
          <w:sz w:val="32"/>
          <w:szCs w:val="32"/>
        </w:rPr>
        <w:t>75</w:t>
      </w:r>
      <w:r>
        <w:rPr>
          <w:rFonts w:hint="eastAsia" w:ascii="仿宋_GB2312" w:hAnsi="仿宋_GB2312" w:eastAsia="仿宋_GB2312" w:cs="仿宋_GB2312"/>
          <w:sz w:val="32"/>
          <w:szCs w:val="32"/>
        </w:rPr>
        <w:t>0000.00元，支出</w:t>
      </w:r>
      <w:r>
        <w:rPr>
          <w:rFonts w:ascii="仿宋_GB2312" w:hAnsi="仿宋_GB2312" w:eastAsia="仿宋_GB2312" w:cs="仿宋_GB2312"/>
          <w:sz w:val="32"/>
          <w:szCs w:val="32"/>
        </w:rPr>
        <w:t>580079.00</w:t>
      </w:r>
      <w:r>
        <w:rPr>
          <w:rFonts w:hint="eastAsia" w:ascii="仿宋_GB2312" w:hAnsi="仿宋_GB2312" w:eastAsia="仿宋_GB2312" w:cs="仿宋_GB2312"/>
          <w:sz w:val="32"/>
          <w:szCs w:val="32"/>
        </w:rPr>
        <w:t>元，结余</w:t>
      </w:r>
      <w:r>
        <w:rPr>
          <w:rFonts w:ascii="仿宋_GB2312" w:hAnsi="仿宋_GB2312" w:eastAsia="仿宋_GB2312" w:cs="仿宋_GB2312"/>
          <w:sz w:val="32"/>
          <w:szCs w:val="32"/>
        </w:rPr>
        <w:t>169921.00</w:t>
      </w:r>
      <w:r>
        <w:rPr>
          <w:rFonts w:hint="eastAsia" w:ascii="仿宋_GB2312" w:hAnsi="仿宋_GB2312" w:eastAsia="仿宋_GB2312" w:cs="仿宋_GB2312"/>
          <w:sz w:val="32"/>
          <w:szCs w:val="32"/>
        </w:rPr>
        <w:t>元。</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三、部门整体支出绩效情况</w:t>
      </w:r>
    </w:p>
    <w:p>
      <w:pPr>
        <w:spacing w:line="60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202</w:t>
      </w:r>
      <w:r>
        <w:rPr>
          <w:rFonts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rPr>
        <w:t>年，宣传中心根据部门工作职责，圆满完成了各项工作任务，实现了年度整体支出绩效目标，为全省林业发展营造了良好的舆论氛围。</w:t>
      </w:r>
    </w:p>
    <w:p>
      <w:pPr>
        <w:spacing w:line="60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是搭建新闻发布平台。先后召开《湖南省生物多样性白皮书》新闻发布会、建党百年生态文明专场新闻发布会和2021湖南省花木博览会新闻发布会三场高规格的新闻发布会，其中《湖南省生物多样性白皮书》新闻发布会由胡长清局长发布新闻。二是打造主流媒体品牌。今年来，不断加强与主流媒体的深度战略合作，打造湖南林业宣传品牌。如新湖南开设的“湖湘自然历”专栏，红网和时刻的“林业”频道，每天发布林业新闻，全方位展示湖南林业建设发展成就。专题宣传持续深入，《中国绿色时报》的系列报道效果良好。三是搭建湖南林业官宣格局。传统阵地《林业与生态》杂志注重深度策划报道，成为各级林业工作者交流和获取信息的重要渠道。网络平台“湖南林业政务网”“湖南省林业局”官网成为一个政务信息公开透明、互动交流渠道畅通、在线办事高效的政务窗口。湖南林业展示中心接待毛伟明省长等领导参观30余次。“湖南林业”政务微信公众号推送信息485条，累计总阅读量46.6多万次，总阅读人数达到33.6多万人。“湖南林业”的抖音视频号和腾讯视频号已完成认证备案工作，“一刊一馆两网三号”的官宣格局初步形成。四是树推林业行业典型。推荐我省九龙江国家森林公园生态护林员吴树养荣获中宣部、国家林草局、财政部、国家乡村振兴局四部委联合颁发的“全国最美生态护林员”称号，联合湖南日报、湖南经视、红网等省级主流媒体开展“湖南林业群英谱”集中宣传，推介隆回县崇木凼村等5个村入选全国生态文化村。开展“青山碧水新湖南”生态文化创作摄影活动。报送国家林业局网站信息2750条、视频239则，全面展示湖南林业工作成效。</w:t>
      </w:r>
    </w:p>
    <w:p>
      <w:pPr>
        <w:rPr>
          <w:b/>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rFonts w:hint="eastAsia"/>
          <w:sz w:val="32"/>
          <w:szCs w:val="32"/>
        </w:rPr>
      </w:pPr>
    </w:p>
    <w:p>
      <w:pPr>
        <w:rPr>
          <w:sz w:val="32"/>
          <w:szCs w:val="32"/>
        </w:rPr>
      </w:pPr>
    </w:p>
    <w:p>
      <w:pPr>
        <w:widowControl/>
        <w:jc w:val="left"/>
        <w:rPr>
          <w:rFonts w:eastAsia="黑体"/>
          <w:sz w:val="32"/>
          <w:szCs w:val="32"/>
        </w:rPr>
      </w:pPr>
      <w:r>
        <w:rPr>
          <w:rFonts w:eastAsia="黑体"/>
          <w:sz w:val="32"/>
          <w:szCs w:val="32"/>
        </w:rPr>
        <w:t>附件</w:t>
      </w:r>
      <w:r>
        <w:rPr>
          <w:rFonts w:hint="eastAsia" w:eastAsia="黑体"/>
          <w:sz w:val="32"/>
          <w:szCs w:val="32"/>
        </w:rPr>
        <w:t>1</w:t>
      </w:r>
    </w:p>
    <w:p>
      <w:pPr>
        <w:widowControl/>
        <w:jc w:val="left"/>
        <w:rPr>
          <w:rFonts w:eastAsia="方正小标宋_GBK"/>
          <w:kern w:val="0"/>
          <w:sz w:val="32"/>
          <w:szCs w:val="32"/>
        </w:rPr>
      </w:pPr>
      <w:r>
        <w:rPr>
          <w:rFonts w:hint="eastAsia" w:eastAsia="方正小标宋_GBK"/>
          <w:kern w:val="0"/>
          <w:sz w:val="32"/>
          <w:szCs w:val="32"/>
        </w:rPr>
        <w:t>202</w:t>
      </w:r>
      <w:r>
        <w:rPr>
          <w:rFonts w:eastAsia="方正小标宋_GBK"/>
          <w:kern w:val="0"/>
          <w:sz w:val="32"/>
          <w:szCs w:val="32"/>
        </w:rPr>
        <w:t>1</w:t>
      </w:r>
      <w:r>
        <w:rPr>
          <w:rFonts w:hint="eastAsia" w:eastAsia="方正小标宋_GBK"/>
          <w:kern w:val="0"/>
          <w:sz w:val="32"/>
          <w:szCs w:val="32"/>
        </w:rPr>
        <w:t>年度湖南省林业厅宣传中心</w:t>
      </w:r>
      <w:r>
        <w:rPr>
          <w:rFonts w:eastAsia="方正小标宋_GBK"/>
          <w:kern w:val="0"/>
          <w:sz w:val="32"/>
          <w:szCs w:val="32"/>
        </w:rPr>
        <w:t>整体支出绩效评价基础数</w:t>
      </w:r>
      <w:r>
        <w:rPr>
          <w:rFonts w:hint="eastAsia" w:eastAsia="方正小标宋_GBK"/>
          <w:kern w:val="0"/>
          <w:sz w:val="32"/>
          <w:szCs w:val="32"/>
        </w:rPr>
        <w:t>据</w:t>
      </w:r>
      <w:r>
        <w:rPr>
          <w:rFonts w:eastAsia="方正小标宋_GBK"/>
          <w:kern w:val="0"/>
          <w:sz w:val="32"/>
          <w:szCs w:val="32"/>
        </w:rPr>
        <w:t>表</w:t>
      </w:r>
    </w:p>
    <w:tbl>
      <w:tblPr>
        <w:tblStyle w:val="5"/>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54"/>
        <w:gridCol w:w="1189"/>
        <w:gridCol w:w="849"/>
        <w:gridCol w:w="1129"/>
        <w:gridCol w:w="1111"/>
        <w:gridCol w:w="969"/>
        <w:gridCol w:w="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vMerge w:val="restart"/>
            <w:tcBorders>
              <w:top w:val="single" w:color="auto" w:sz="12" w:space="0"/>
              <w:left w:val="single" w:color="auto" w:sz="12" w:space="0"/>
            </w:tcBorders>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财政供养人员情况</w:t>
            </w:r>
          </w:p>
        </w:tc>
        <w:tc>
          <w:tcPr>
            <w:tcW w:w="2038" w:type="dxa"/>
            <w:gridSpan w:val="2"/>
            <w:tcBorders>
              <w:top w:val="single" w:color="auto" w:sz="12" w:space="0"/>
            </w:tcBorders>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编制数</w:t>
            </w:r>
          </w:p>
        </w:tc>
        <w:tc>
          <w:tcPr>
            <w:tcW w:w="2240" w:type="dxa"/>
            <w:gridSpan w:val="2"/>
            <w:tcBorders>
              <w:top w:val="single" w:color="auto" w:sz="12" w:space="0"/>
            </w:tcBorders>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202</w:t>
            </w:r>
            <w:r>
              <w:rPr>
                <w:rFonts w:ascii="仿宋" w:hAnsi="仿宋" w:eastAsia="仿宋" w:cs="仿宋"/>
                <w:b/>
                <w:bCs/>
                <w:kern w:val="0"/>
                <w:sz w:val="24"/>
              </w:rPr>
              <w:t>1</w:t>
            </w:r>
            <w:r>
              <w:rPr>
                <w:rFonts w:hint="eastAsia" w:ascii="仿宋" w:hAnsi="仿宋" w:eastAsia="仿宋" w:cs="仿宋"/>
                <w:b/>
                <w:bCs/>
                <w:kern w:val="0"/>
                <w:sz w:val="24"/>
              </w:rPr>
              <w:t>年实际在职人数</w:t>
            </w:r>
          </w:p>
        </w:tc>
        <w:tc>
          <w:tcPr>
            <w:tcW w:w="1832" w:type="dxa"/>
            <w:gridSpan w:val="2"/>
            <w:tcBorders>
              <w:top w:val="single" w:color="auto" w:sz="12" w:space="0"/>
              <w:right w:val="single" w:color="auto" w:sz="12" w:space="0"/>
            </w:tcBorders>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控制率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vMerge w:val="continue"/>
            <w:tcBorders>
              <w:left w:val="single" w:color="auto" w:sz="12" w:space="0"/>
            </w:tcBorders>
            <w:vAlign w:val="center"/>
          </w:tcPr>
          <w:p>
            <w:pPr>
              <w:widowControl/>
              <w:jc w:val="left"/>
              <w:rPr>
                <w:rFonts w:ascii="仿宋" w:hAnsi="仿宋" w:eastAsia="仿宋" w:cs="仿宋"/>
                <w:b/>
                <w:bCs/>
                <w:kern w:val="0"/>
                <w:sz w:val="24"/>
              </w:rPr>
            </w:pP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4　</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4</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经费控制情况</w:t>
            </w:r>
          </w:p>
        </w:tc>
        <w:tc>
          <w:tcPr>
            <w:tcW w:w="2038" w:type="dxa"/>
            <w:gridSpan w:val="2"/>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20</w:t>
            </w:r>
            <w:r>
              <w:rPr>
                <w:rFonts w:ascii="仿宋" w:hAnsi="仿宋" w:eastAsia="仿宋" w:cs="仿宋"/>
                <w:b/>
                <w:bCs/>
                <w:kern w:val="0"/>
                <w:sz w:val="24"/>
              </w:rPr>
              <w:t>20</w:t>
            </w:r>
            <w:r>
              <w:rPr>
                <w:rFonts w:hint="eastAsia" w:ascii="仿宋" w:hAnsi="仿宋" w:eastAsia="仿宋" w:cs="仿宋"/>
                <w:b/>
                <w:bCs/>
                <w:kern w:val="0"/>
                <w:sz w:val="24"/>
              </w:rPr>
              <w:t>年决算数</w:t>
            </w:r>
          </w:p>
        </w:tc>
        <w:tc>
          <w:tcPr>
            <w:tcW w:w="2240" w:type="dxa"/>
            <w:gridSpan w:val="2"/>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202</w:t>
            </w:r>
            <w:r>
              <w:rPr>
                <w:rFonts w:ascii="仿宋" w:hAnsi="仿宋" w:eastAsia="仿宋" w:cs="仿宋"/>
                <w:b/>
                <w:bCs/>
                <w:kern w:val="0"/>
                <w:sz w:val="24"/>
              </w:rPr>
              <w:t>1</w:t>
            </w:r>
            <w:r>
              <w:rPr>
                <w:rFonts w:hint="eastAsia" w:ascii="仿宋" w:hAnsi="仿宋" w:eastAsia="仿宋" w:cs="仿宋"/>
                <w:b/>
                <w:bCs/>
                <w:kern w:val="0"/>
                <w:sz w:val="24"/>
              </w:rPr>
              <w:t>年预算数</w:t>
            </w:r>
          </w:p>
        </w:tc>
        <w:tc>
          <w:tcPr>
            <w:tcW w:w="1832" w:type="dxa"/>
            <w:gridSpan w:val="2"/>
            <w:tcBorders>
              <w:right w:val="single" w:color="auto" w:sz="12" w:space="0"/>
            </w:tcBorders>
            <w:vAlign w:val="center"/>
          </w:tcPr>
          <w:p>
            <w:pPr>
              <w:widowControl/>
              <w:jc w:val="center"/>
              <w:rPr>
                <w:rFonts w:ascii="仿宋" w:hAnsi="仿宋" w:eastAsia="仿宋" w:cs="仿宋"/>
                <w:b/>
                <w:bCs/>
                <w:kern w:val="0"/>
                <w:sz w:val="24"/>
              </w:rPr>
            </w:pPr>
            <w:r>
              <w:rPr>
                <w:rFonts w:hint="eastAsia" w:ascii="仿宋" w:hAnsi="仿宋" w:eastAsia="仿宋" w:cs="仿宋"/>
                <w:b/>
                <w:bCs/>
                <w:kern w:val="0"/>
                <w:sz w:val="24"/>
              </w:rPr>
              <w:t>202</w:t>
            </w:r>
            <w:r>
              <w:rPr>
                <w:rFonts w:ascii="仿宋" w:hAnsi="仿宋" w:eastAsia="仿宋" w:cs="仿宋"/>
                <w:b/>
                <w:bCs/>
                <w:kern w:val="0"/>
                <w:sz w:val="24"/>
              </w:rPr>
              <w:t>1</w:t>
            </w:r>
            <w:r>
              <w:rPr>
                <w:rFonts w:hint="eastAsia" w:ascii="仿宋" w:hAnsi="仿宋" w:eastAsia="仿宋" w:cs="仿宋"/>
                <w:b/>
                <w:bCs/>
                <w:kern w:val="0"/>
                <w:sz w:val="24"/>
              </w:rPr>
              <w:t>年决算数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b/>
                <w:bCs/>
                <w:kern w:val="0"/>
                <w:sz w:val="24"/>
              </w:rPr>
              <w:t>三公经费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34481.74</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45000.00</w:t>
            </w: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34481.74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1、公务用车购置和维护经费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20257.74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30000.00</w:t>
            </w: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20257.74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其中：公车购置</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公车运行维护</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20257.74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30000.00</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20257.74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2、出国经费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3、公务接待</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14224.00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15000.00</w:t>
            </w: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14224.00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b/>
                <w:bCs/>
                <w:kern w:val="0"/>
                <w:sz w:val="24"/>
              </w:rPr>
              <w:t>项目支出</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809431.22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1850000.00</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ascii="仿宋" w:hAnsi="仿宋" w:eastAsia="仿宋" w:cs="仿宋"/>
                <w:kern w:val="0"/>
                <w:sz w:val="24"/>
              </w:rPr>
              <w:t>1584535.12</w:t>
            </w: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1、业务工作经费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809431.22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1850000.00</w:t>
            </w: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ascii="仿宋" w:hAnsi="仿宋" w:eastAsia="仿宋" w:cs="仿宋"/>
                <w:kern w:val="0"/>
                <w:sz w:val="24"/>
              </w:rPr>
              <w:t>1584535.12</w:t>
            </w: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2、运行维护经费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354" w:type="dxa"/>
            <w:tcBorders>
              <w:left w:val="single" w:color="auto" w:sz="12" w:space="0"/>
            </w:tcBorders>
            <w:vAlign w:val="center"/>
          </w:tcPr>
          <w:p>
            <w:pPr>
              <w:widowControl/>
              <w:ind w:firstLine="480" w:firstLineChars="200"/>
              <w:jc w:val="left"/>
              <w:rPr>
                <w:rFonts w:ascii="仿宋" w:hAnsi="仿宋" w:eastAsia="仿宋" w:cs="仿宋"/>
                <w:kern w:val="0"/>
                <w:sz w:val="24"/>
              </w:rPr>
            </w:pPr>
            <w:r>
              <w:rPr>
                <w:rFonts w:hint="eastAsia" w:ascii="仿宋" w:hAnsi="仿宋" w:eastAsia="仿宋" w:cs="仿宋"/>
                <w:kern w:val="0"/>
                <w:sz w:val="24"/>
              </w:rPr>
              <w:t>3、省级专项资金</w:t>
            </w:r>
          </w:p>
          <w:p>
            <w:pPr>
              <w:widowControl/>
              <w:ind w:firstLine="720" w:firstLineChars="300"/>
              <w:jc w:val="left"/>
              <w:rPr>
                <w:rFonts w:ascii="仿宋" w:hAnsi="仿宋" w:eastAsia="仿宋" w:cs="仿宋"/>
                <w:kern w:val="0"/>
                <w:sz w:val="24"/>
              </w:rPr>
            </w:pPr>
            <w:r>
              <w:rPr>
                <w:rFonts w:hint="eastAsia" w:ascii="仿宋" w:hAnsi="仿宋" w:eastAsia="仿宋" w:cs="仿宋"/>
                <w:kern w:val="0"/>
                <w:sz w:val="24"/>
              </w:rPr>
              <w:t>（一个专项一行）</w:t>
            </w:r>
          </w:p>
        </w:tc>
        <w:tc>
          <w:tcPr>
            <w:tcW w:w="2038" w:type="dxa"/>
            <w:gridSpan w:val="2"/>
            <w:vAlign w:val="center"/>
          </w:tcPr>
          <w:p>
            <w:pPr>
              <w:widowControl/>
              <w:jc w:val="center"/>
              <w:rPr>
                <w:rFonts w:ascii="仿宋" w:hAnsi="仿宋" w:eastAsia="仿宋" w:cs="仿宋"/>
                <w:kern w:val="0"/>
                <w:sz w:val="24"/>
              </w:rPr>
            </w:pPr>
          </w:p>
        </w:tc>
        <w:tc>
          <w:tcPr>
            <w:tcW w:w="2240" w:type="dxa"/>
            <w:gridSpan w:val="2"/>
            <w:vAlign w:val="center"/>
          </w:tcPr>
          <w:p>
            <w:pPr>
              <w:widowControl/>
              <w:jc w:val="center"/>
              <w:rPr>
                <w:rFonts w:ascii="仿宋" w:hAnsi="仿宋" w:eastAsia="仿宋" w:cs="仿宋"/>
                <w:kern w:val="0"/>
                <w:sz w:val="24"/>
              </w:rPr>
            </w:pP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ind w:firstLine="480" w:firstLineChars="200"/>
              <w:jc w:val="left"/>
              <w:rPr>
                <w:rFonts w:ascii="仿宋" w:hAnsi="仿宋" w:eastAsia="仿宋" w:cs="仿宋"/>
                <w:kern w:val="0"/>
                <w:sz w:val="24"/>
              </w:rPr>
            </w:pPr>
            <w:r>
              <w:rPr>
                <w:rFonts w:hint="eastAsia" w:ascii="仿宋" w:hAnsi="仿宋" w:eastAsia="仿宋" w:cs="仿宋"/>
                <w:kern w:val="0"/>
                <w:sz w:val="24"/>
              </w:rPr>
              <w:t>4、其他事业类发展资金</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w:t>
            </w:r>
          </w:p>
        </w:tc>
        <w:tc>
          <w:tcPr>
            <w:tcW w:w="2038" w:type="dxa"/>
            <w:gridSpan w:val="2"/>
            <w:vAlign w:val="center"/>
          </w:tcPr>
          <w:p>
            <w:pPr>
              <w:widowControl/>
              <w:jc w:val="center"/>
              <w:rPr>
                <w:rFonts w:ascii="仿宋" w:hAnsi="仿宋" w:eastAsia="仿宋" w:cs="仿宋"/>
                <w:kern w:val="0"/>
                <w:sz w:val="24"/>
              </w:rPr>
            </w:pPr>
          </w:p>
        </w:tc>
        <w:tc>
          <w:tcPr>
            <w:tcW w:w="2240" w:type="dxa"/>
            <w:gridSpan w:val="2"/>
            <w:vAlign w:val="center"/>
          </w:tcPr>
          <w:p>
            <w:pPr>
              <w:widowControl/>
              <w:jc w:val="center"/>
              <w:rPr>
                <w:rFonts w:ascii="仿宋" w:hAnsi="仿宋" w:eastAsia="仿宋" w:cs="仿宋"/>
                <w:kern w:val="0"/>
                <w:sz w:val="24"/>
              </w:rPr>
            </w:pP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b/>
                <w:bCs/>
                <w:kern w:val="0"/>
                <w:sz w:val="24"/>
              </w:rPr>
              <w:t>公用经费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927518.20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85200.00</w:t>
            </w: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ascii="仿宋" w:hAnsi="仿宋" w:eastAsia="仿宋" w:cs="仿宋"/>
                <w:kern w:val="0"/>
                <w:sz w:val="24"/>
              </w:rPr>
              <w:t>89653.23</w:t>
            </w: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其中：办公费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130505.22　</w:t>
            </w:r>
          </w:p>
        </w:tc>
        <w:tc>
          <w:tcPr>
            <w:tcW w:w="2240" w:type="dxa"/>
            <w:gridSpan w:val="2"/>
            <w:vAlign w:val="center"/>
          </w:tcPr>
          <w:p>
            <w:pPr>
              <w:widowControl/>
              <w:jc w:val="center"/>
              <w:rPr>
                <w:rFonts w:ascii="仿宋" w:hAnsi="仿宋" w:eastAsia="仿宋" w:cs="仿宋"/>
                <w:kern w:val="0"/>
                <w:sz w:val="24"/>
              </w:rPr>
            </w:pPr>
            <w:r>
              <w:rPr>
                <w:rFonts w:ascii="仿宋" w:hAnsi="仿宋" w:eastAsia="仿宋" w:cs="仿宋"/>
                <w:kern w:val="0"/>
                <w:sz w:val="24"/>
              </w:rPr>
              <w:t>0</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ascii="仿宋" w:hAnsi="仿宋" w:eastAsia="仿宋" w:cs="仿宋"/>
                <w:kern w:val="0"/>
                <w:sz w:val="24"/>
              </w:rPr>
              <w:t>0</w:t>
            </w: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水费、电费、差旅费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29149.00　</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2</w:t>
            </w:r>
            <w:r>
              <w:rPr>
                <w:rFonts w:ascii="仿宋" w:hAnsi="仿宋" w:eastAsia="仿宋" w:cs="仿宋"/>
                <w:kern w:val="0"/>
                <w:sz w:val="24"/>
              </w:rPr>
              <w:t>00.00</w:t>
            </w: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ascii="仿宋" w:hAnsi="仿宋" w:eastAsia="仿宋" w:cs="仿宋"/>
                <w:kern w:val="0"/>
                <w:sz w:val="24"/>
              </w:rPr>
              <w:t>200</w:t>
            </w:r>
            <w:r>
              <w:rPr>
                <w:rFonts w:hint="eastAsia" w:ascii="仿宋" w:hAnsi="仿宋" w:eastAsia="仿宋" w:cs="仿宋"/>
                <w:kern w:val="0"/>
                <w:sz w:val="24"/>
              </w:rPr>
              <w:t>.0</w:t>
            </w:r>
            <w:r>
              <w:rPr>
                <w:rFonts w:ascii="仿宋" w:hAnsi="仿宋" w:eastAsia="仿宋" w:cs="仿宋"/>
                <w:kern w:val="0"/>
                <w:sz w:val="24"/>
              </w:rPr>
              <w:t>0</w:t>
            </w: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          会议费、培训费</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2240" w:type="dxa"/>
            <w:gridSpan w:val="2"/>
            <w:vAlign w:val="center"/>
          </w:tcPr>
          <w:p>
            <w:pPr>
              <w:widowControl/>
              <w:jc w:val="center"/>
              <w:rPr>
                <w:rFonts w:ascii="仿宋" w:hAnsi="仿宋" w:eastAsia="仿宋" w:cs="仿宋"/>
                <w:kern w:val="0"/>
                <w:sz w:val="24"/>
              </w:rPr>
            </w:pP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政府采购金额</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4" w:type="dxa"/>
            <w:tcBorders>
              <w:lef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xml:space="preserve">部门基本支出预算调整 </w:t>
            </w:r>
          </w:p>
        </w:tc>
        <w:tc>
          <w:tcPr>
            <w:tcW w:w="2038"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w:t>
            </w:r>
          </w:p>
        </w:tc>
        <w:tc>
          <w:tcPr>
            <w:tcW w:w="2240" w:type="dxa"/>
            <w:gridSpan w:val="2"/>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1832" w:type="dxa"/>
            <w:gridSpan w:val="2"/>
            <w:tcBorders>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3354" w:type="dxa"/>
            <w:vMerge w:val="restart"/>
            <w:tcBorders>
              <w:lef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楼堂馆所控制情况</w:t>
            </w:r>
          </w:p>
          <w:p>
            <w:pPr>
              <w:widowControl/>
              <w:jc w:val="center"/>
              <w:rPr>
                <w:rFonts w:ascii="仿宋" w:hAnsi="仿宋" w:eastAsia="仿宋" w:cs="仿宋"/>
                <w:kern w:val="0"/>
                <w:sz w:val="24"/>
              </w:rPr>
            </w:pPr>
            <w:r>
              <w:rPr>
                <w:rFonts w:hint="eastAsia" w:ascii="仿宋" w:hAnsi="仿宋" w:eastAsia="仿宋" w:cs="仿宋"/>
                <w:kern w:val="0"/>
                <w:sz w:val="24"/>
              </w:rPr>
              <w:t>（2019年完工项目）</w:t>
            </w:r>
          </w:p>
        </w:tc>
        <w:tc>
          <w:tcPr>
            <w:tcW w:w="1189" w:type="dxa"/>
            <w:vAlign w:val="center"/>
          </w:tcPr>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批复规模</w:t>
            </w:r>
          </w:p>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w:t>
            </w:r>
          </w:p>
        </w:tc>
        <w:tc>
          <w:tcPr>
            <w:tcW w:w="849" w:type="dxa"/>
            <w:vAlign w:val="center"/>
          </w:tcPr>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实际规模（㎡）</w:t>
            </w:r>
          </w:p>
        </w:tc>
        <w:tc>
          <w:tcPr>
            <w:tcW w:w="1129" w:type="dxa"/>
            <w:vAlign w:val="center"/>
          </w:tcPr>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规模控制率</w:t>
            </w:r>
          </w:p>
        </w:tc>
        <w:tc>
          <w:tcPr>
            <w:tcW w:w="1111" w:type="dxa"/>
            <w:vAlign w:val="center"/>
          </w:tcPr>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预算投资（万元）</w:t>
            </w:r>
          </w:p>
        </w:tc>
        <w:tc>
          <w:tcPr>
            <w:tcW w:w="969" w:type="dxa"/>
            <w:vAlign w:val="center"/>
          </w:tcPr>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实际投资（万元）</w:t>
            </w:r>
          </w:p>
        </w:tc>
        <w:tc>
          <w:tcPr>
            <w:tcW w:w="863" w:type="dxa"/>
            <w:tcBorders>
              <w:right w:val="single" w:color="auto" w:sz="12" w:space="0"/>
            </w:tcBorders>
            <w:vAlign w:val="center"/>
          </w:tcPr>
          <w:p>
            <w:pPr>
              <w:widowControl/>
              <w:spacing w:line="240" w:lineRule="exact"/>
              <w:jc w:val="center"/>
              <w:rPr>
                <w:rFonts w:ascii="仿宋" w:hAnsi="仿宋" w:eastAsia="仿宋" w:cs="仿宋"/>
                <w:bCs/>
                <w:kern w:val="0"/>
                <w:sz w:val="24"/>
              </w:rPr>
            </w:pPr>
            <w:r>
              <w:rPr>
                <w:rFonts w:hint="eastAsia" w:ascii="仿宋" w:hAnsi="仿宋" w:eastAsia="仿宋" w:cs="仿宋"/>
                <w:bCs/>
                <w:kern w:val="0"/>
                <w:sz w:val="24"/>
              </w:rPr>
              <w:t>投资概算控制率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4" w:type="dxa"/>
            <w:vMerge w:val="continue"/>
            <w:tcBorders>
              <w:left w:val="single" w:color="auto" w:sz="12" w:space="0"/>
            </w:tcBorders>
            <w:vAlign w:val="center"/>
          </w:tcPr>
          <w:p>
            <w:pPr>
              <w:widowControl/>
              <w:jc w:val="left"/>
              <w:rPr>
                <w:rFonts w:ascii="仿宋" w:hAnsi="仿宋" w:eastAsia="仿宋" w:cs="仿宋"/>
                <w:kern w:val="0"/>
                <w:sz w:val="24"/>
              </w:rPr>
            </w:pPr>
          </w:p>
        </w:tc>
        <w:tc>
          <w:tcPr>
            <w:tcW w:w="1189" w:type="dxa"/>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c>
          <w:tcPr>
            <w:tcW w:w="849"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　</w:t>
            </w:r>
          </w:p>
        </w:tc>
        <w:tc>
          <w:tcPr>
            <w:tcW w:w="1129"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　</w:t>
            </w:r>
          </w:p>
        </w:tc>
        <w:tc>
          <w:tcPr>
            <w:tcW w:w="111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　</w:t>
            </w:r>
          </w:p>
        </w:tc>
        <w:tc>
          <w:tcPr>
            <w:tcW w:w="969"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　</w:t>
            </w:r>
          </w:p>
        </w:tc>
        <w:tc>
          <w:tcPr>
            <w:tcW w:w="863" w:type="dxa"/>
            <w:tcBorders>
              <w:right w:val="single" w:color="auto" w:sz="12" w:space="0"/>
            </w:tcBorders>
            <w:vAlign w:val="center"/>
          </w:tcPr>
          <w:p>
            <w:pPr>
              <w:widowControl/>
              <w:jc w:val="left"/>
              <w:rPr>
                <w:rFonts w:ascii="仿宋" w:hAnsi="仿宋" w:eastAsia="仿宋" w:cs="仿宋"/>
                <w:kern w:val="0"/>
                <w:sz w:val="24"/>
              </w:rPr>
            </w:pPr>
            <w:r>
              <w:rPr>
                <w:rFonts w:hint="eastAsia" w:ascii="仿宋" w:hAnsi="仿宋" w:eastAsia="仿宋" w:cs="仿宋"/>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3354" w:type="dxa"/>
            <w:tcBorders>
              <w:left w:val="single" w:color="auto" w:sz="12" w:space="0"/>
              <w:bottom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厉行节约保障措施</w:t>
            </w:r>
          </w:p>
        </w:tc>
        <w:tc>
          <w:tcPr>
            <w:tcW w:w="6110" w:type="dxa"/>
            <w:gridSpan w:val="6"/>
            <w:tcBorders>
              <w:bottom w:val="single" w:color="auto" w:sz="12" w:space="0"/>
              <w:right w:val="single" w:color="auto" w:sz="12" w:space="0"/>
            </w:tcBorders>
            <w:vAlign w:val="center"/>
          </w:tcPr>
          <w:p>
            <w:pPr>
              <w:widowControl/>
              <w:jc w:val="center"/>
              <w:rPr>
                <w:rFonts w:ascii="仿宋" w:hAnsi="仿宋" w:eastAsia="仿宋" w:cs="仿宋"/>
                <w:kern w:val="0"/>
                <w:sz w:val="24"/>
              </w:rPr>
            </w:pPr>
            <w:r>
              <w:rPr>
                <w:rFonts w:hint="eastAsia" w:ascii="仿宋" w:hAnsi="仿宋" w:eastAsia="仿宋" w:cs="仿宋"/>
                <w:kern w:val="0"/>
                <w:sz w:val="24"/>
              </w:rPr>
              <w:t>　</w:t>
            </w:r>
          </w:p>
        </w:tc>
      </w:tr>
    </w:tbl>
    <w:p>
      <w:pPr>
        <w:spacing w:line="360" w:lineRule="exact"/>
        <w:rPr>
          <w:rFonts w:eastAsia="黑体"/>
          <w:sz w:val="32"/>
          <w:szCs w:val="32"/>
        </w:rPr>
      </w:pPr>
      <w:r>
        <w:rPr>
          <w:rFonts w:eastAsia="黑体"/>
          <w:sz w:val="32"/>
          <w:szCs w:val="32"/>
        </w:rPr>
        <w:t>附件</w:t>
      </w:r>
      <w:r>
        <w:rPr>
          <w:rFonts w:hint="eastAsia" w:eastAsia="黑体"/>
          <w:sz w:val="32"/>
          <w:szCs w:val="32"/>
        </w:rPr>
        <w:t>2</w:t>
      </w:r>
    </w:p>
    <w:p>
      <w:pPr>
        <w:widowControl/>
        <w:jc w:val="center"/>
        <w:rPr>
          <w:rFonts w:eastAsia="方正小标宋_GBK"/>
          <w:color w:val="000000"/>
          <w:kern w:val="0"/>
          <w:sz w:val="36"/>
          <w:szCs w:val="36"/>
        </w:rPr>
      </w:pPr>
      <w:r>
        <w:rPr>
          <w:rFonts w:hint="eastAsia" w:eastAsia="方正小标宋_GBK"/>
          <w:color w:val="000000"/>
          <w:kern w:val="0"/>
          <w:sz w:val="36"/>
          <w:szCs w:val="36"/>
        </w:rPr>
        <w:t>湖南省林业局宣传中心</w:t>
      </w:r>
      <w:r>
        <w:rPr>
          <w:rFonts w:eastAsia="方正小标宋_GBK"/>
          <w:color w:val="000000"/>
          <w:kern w:val="0"/>
          <w:sz w:val="36"/>
          <w:szCs w:val="36"/>
        </w:rPr>
        <w:t>整体支出绩效自评表</w:t>
      </w:r>
    </w:p>
    <w:tbl>
      <w:tblPr>
        <w:tblStyle w:val="5"/>
        <w:tblW w:w="100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855"/>
        <w:gridCol w:w="527"/>
        <w:gridCol w:w="607"/>
        <w:gridCol w:w="1723"/>
        <w:gridCol w:w="95"/>
        <w:gridCol w:w="1200"/>
        <w:gridCol w:w="1134"/>
        <w:gridCol w:w="709"/>
        <w:gridCol w:w="898"/>
        <w:gridCol w:w="14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213" w:type="dxa"/>
            <w:gridSpan w:val="3"/>
            <w:tcBorders>
              <w:top w:val="single" w:color="auto" w:sz="12" w:space="0"/>
              <w:left w:val="single" w:color="auto" w:sz="12" w:space="0"/>
              <w:right w:val="single" w:color="auto" w:sz="4" w:space="0"/>
            </w:tcBorders>
            <w:vAlign w:val="center"/>
          </w:tcPr>
          <w:p>
            <w:pPr>
              <w:widowControl/>
              <w:jc w:val="left"/>
              <w:rPr>
                <w:rFonts w:eastAsia="仿宋_GB2312"/>
                <w:color w:val="000000"/>
                <w:kern w:val="0"/>
                <w:sz w:val="24"/>
              </w:rPr>
            </w:pPr>
            <w:r>
              <w:rPr>
                <w:rFonts w:eastAsia="仿宋_GB2312"/>
                <w:b/>
                <w:bCs/>
                <w:color w:val="000000"/>
                <w:kern w:val="0"/>
                <w:sz w:val="24"/>
              </w:rPr>
              <w:t>省级预算部门名称</w:t>
            </w:r>
            <w:r>
              <w:rPr>
                <w:rFonts w:eastAsia="仿宋_GB2312"/>
                <w:color w:val="000000"/>
                <w:kern w:val="0"/>
                <w:sz w:val="24"/>
              </w:rPr>
              <w:t>　</w:t>
            </w:r>
          </w:p>
        </w:tc>
        <w:tc>
          <w:tcPr>
            <w:tcW w:w="7812" w:type="dxa"/>
            <w:gridSpan w:val="8"/>
            <w:tcBorders>
              <w:top w:val="single" w:color="auto" w:sz="12" w:space="0"/>
              <w:left w:val="single" w:color="auto" w:sz="4" w:space="0"/>
              <w:right w:val="single" w:color="auto" w:sz="12" w:space="0"/>
            </w:tcBorders>
            <w:vAlign w:val="center"/>
          </w:tcPr>
          <w:p>
            <w:pPr>
              <w:widowControl/>
              <w:jc w:val="center"/>
              <w:rPr>
                <w:rFonts w:eastAsia="仿宋_GB2312"/>
                <w:color w:val="000000"/>
                <w:kern w:val="0"/>
                <w:sz w:val="24"/>
              </w:rPr>
            </w:pPr>
            <w:r>
              <w:rPr>
                <w:rFonts w:hint="eastAsia"/>
                <w:color w:val="000000"/>
                <w:kern w:val="0"/>
                <w:sz w:val="24"/>
              </w:rPr>
              <w:t>湖南省林业局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31" w:type="dxa"/>
            <w:vMerge w:val="restart"/>
            <w:tcBorders>
              <w:left w:val="single" w:color="auto" w:sz="12" w:space="0"/>
              <w:right w:val="single" w:color="auto" w:sz="4" w:space="0"/>
            </w:tcBorders>
            <w:vAlign w:val="center"/>
          </w:tcPr>
          <w:p>
            <w:pPr>
              <w:widowControl/>
              <w:jc w:val="center"/>
              <w:rPr>
                <w:rFonts w:eastAsia="仿宋_GB2312"/>
                <w:b/>
                <w:bCs/>
                <w:color w:val="000000"/>
                <w:kern w:val="0"/>
                <w:sz w:val="24"/>
              </w:rPr>
            </w:pPr>
            <w:r>
              <w:rPr>
                <w:rFonts w:eastAsia="仿宋_GB2312"/>
                <w:b/>
                <w:bCs/>
                <w:color w:val="000000"/>
                <w:kern w:val="0"/>
                <w:sz w:val="24"/>
              </w:rPr>
              <w:t>年度预</w:t>
            </w:r>
          </w:p>
          <w:p>
            <w:pPr>
              <w:widowControl/>
              <w:jc w:val="center"/>
              <w:rPr>
                <w:rFonts w:eastAsia="仿宋_GB2312"/>
                <w:b/>
                <w:bCs/>
                <w:color w:val="000000"/>
                <w:kern w:val="0"/>
                <w:sz w:val="24"/>
              </w:rPr>
            </w:pPr>
            <w:r>
              <w:rPr>
                <w:rFonts w:eastAsia="仿宋_GB2312"/>
                <w:b/>
                <w:bCs/>
                <w:color w:val="000000"/>
                <w:kern w:val="0"/>
                <w:sz w:val="24"/>
              </w:rPr>
              <w:t>算申请</w:t>
            </w:r>
          </w:p>
          <w:p>
            <w:pPr>
              <w:widowControl/>
              <w:jc w:val="center"/>
              <w:rPr>
                <w:rFonts w:eastAsia="仿宋_GB2312"/>
                <w:b/>
                <w:bCs/>
                <w:color w:val="000000"/>
                <w:kern w:val="0"/>
                <w:sz w:val="24"/>
              </w:rPr>
            </w:pPr>
            <w:r>
              <w:rPr>
                <w:rFonts w:eastAsia="仿宋_GB2312"/>
                <w:b/>
                <w:bCs/>
                <w:color w:val="000000"/>
                <w:kern w:val="0"/>
                <w:szCs w:val="21"/>
              </w:rPr>
              <w:t>（万元）</w:t>
            </w:r>
          </w:p>
        </w:tc>
        <w:tc>
          <w:tcPr>
            <w:tcW w:w="1989" w:type="dxa"/>
            <w:gridSpan w:val="3"/>
            <w:tcBorders>
              <w:left w:val="single" w:color="auto" w:sz="4" w:space="0"/>
              <w:right w:val="single" w:color="auto" w:sz="4" w:space="0"/>
            </w:tcBorders>
            <w:vAlign w:val="center"/>
          </w:tcPr>
          <w:p>
            <w:pPr>
              <w:spacing w:line="240" w:lineRule="exact"/>
              <w:jc w:val="center"/>
              <w:rPr>
                <w:rFonts w:eastAsia="仿宋_GB2312"/>
                <w:b/>
                <w:bCs/>
                <w:sz w:val="24"/>
              </w:rPr>
            </w:pPr>
          </w:p>
        </w:tc>
        <w:tc>
          <w:tcPr>
            <w:tcW w:w="1723" w:type="dxa"/>
            <w:tcBorders>
              <w:left w:val="single" w:color="auto" w:sz="4" w:space="0"/>
              <w:right w:val="single" w:color="auto" w:sz="4" w:space="0"/>
            </w:tcBorders>
            <w:vAlign w:val="center"/>
          </w:tcPr>
          <w:p>
            <w:pPr>
              <w:spacing w:line="240" w:lineRule="exact"/>
              <w:jc w:val="center"/>
              <w:rPr>
                <w:rFonts w:eastAsia="仿宋_GB2312"/>
                <w:b/>
                <w:bCs/>
                <w:sz w:val="24"/>
              </w:rPr>
            </w:pPr>
            <w:r>
              <w:rPr>
                <w:rFonts w:eastAsia="仿宋_GB2312"/>
                <w:b/>
                <w:bCs/>
                <w:sz w:val="24"/>
              </w:rPr>
              <w:t>年初</w:t>
            </w:r>
          </w:p>
          <w:p>
            <w:pPr>
              <w:spacing w:line="240" w:lineRule="exact"/>
              <w:jc w:val="center"/>
              <w:rPr>
                <w:rFonts w:eastAsia="仿宋_GB2312"/>
                <w:b/>
                <w:bCs/>
                <w:sz w:val="24"/>
              </w:rPr>
            </w:pPr>
            <w:r>
              <w:rPr>
                <w:rFonts w:eastAsia="仿宋_GB2312"/>
                <w:b/>
                <w:bCs/>
                <w:sz w:val="24"/>
              </w:rPr>
              <w:t>预算数</w:t>
            </w:r>
          </w:p>
        </w:tc>
        <w:tc>
          <w:tcPr>
            <w:tcW w:w="1295" w:type="dxa"/>
            <w:gridSpan w:val="2"/>
            <w:tcBorders>
              <w:left w:val="single" w:color="auto" w:sz="4" w:space="0"/>
              <w:right w:val="single" w:color="auto" w:sz="4" w:space="0"/>
            </w:tcBorders>
            <w:vAlign w:val="center"/>
          </w:tcPr>
          <w:p>
            <w:pPr>
              <w:spacing w:line="240" w:lineRule="exact"/>
              <w:jc w:val="center"/>
              <w:rPr>
                <w:rFonts w:eastAsia="仿宋_GB2312"/>
                <w:b/>
                <w:bCs/>
                <w:sz w:val="24"/>
              </w:rPr>
            </w:pPr>
            <w:r>
              <w:rPr>
                <w:rFonts w:eastAsia="仿宋_GB2312"/>
                <w:b/>
                <w:bCs/>
                <w:sz w:val="24"/>
              </w:rPr>
              <w:t>全年预算数</w:t>
            </w:r>
          </w:p>
        </w:tc>
        <w:tc>
          <w:tcPr>
            <w:tcW w:w="1134" w:type="dxa"/>
            <w:tcBorders>
              <w:left w:val="single" w:color="auto" w:sz="4" w:space="0"/>
              <w:right w:val="single" w:color="auto" w:sz="4" w:space="0"/>
            </w:tcBorders>
            <w:vAlign w:val="center"/>
          </w:tcPr>
          <w:p>
            <w:pPr>
              <w:spacing w:line="240" w:lineRule="exact"/>
              <w:jc w:val="center"/>
              <w:rPr>
                <w:rFonts w:eastAsia="仿宋_GB2312"/>
                <w:b/>
                <w:bCs/>
                <w:sz w:val="24"/>
              </w:rPr>
            </w:pPr>
            <w:r>
              <w:rPr>
                <w:rFonts w:eastAsia="仿宋_GB2312"/>
                <w:b/>
                <w:bCs/>
                <w:sz w:val="24"/>
              </w:rPr>
              <w:t>全年</w:t>
            </w:r>
          </w:p>
          <w:p>
            <w:pPr>
              <w:spacing w:line="240" w:lineRule="exact"/>
              <w:jc w:val="center"/>
              <w:rPr>
                <w:rFonts w:eastAsia="仿宋_GB2312"/>
                <w:b/>
                <w:bCs/>
                <w:sz w:val="24"/>
              </w:rPr>
            </w:pPr>
            <w:r>
              <w:rPr>
                <w:rFonts w:eastAsia="仿宋_GB2312"/>
                <w:b/>
                <w:bCs/>
                <w:sz w:val="24"/>
              </w:rPr>
              <w:t>执行数</w:t>
            </w:r>
          </w:p>
        </w:tc>
        <w:tc>
          <w:tcPr>
            <w:tcW w:w="709" w:type="dxa"/>
            <w:tcBorders>
              <w:left w:val="single" w:color="auto" w:sz="4" w:space="0"/>
              <w:right w:val="single" w:color="auto" w:sz="4" w:space="0"/>
            </w:tcBorders>
            <w:vAlign w:val="center"/>
          </w:tcPr>
          <w:p>
            <w:pPr>
              <w:spacing w:line="240" w:lineRule="exact"/>
              <w:jc w:val="center"/>
              <w:rPr>
                <w:rFonts w:eastAsia="仿宋_GB2312"/>
                <w:b/>
                <w:bCs/>
                <w:sz w:val="24"/>
              </w:rPr>
            </w:pPr>
            <w:r>
              <w:rPr>
                <w:rFonts w:eastAsia="仿宋_GB2312"/>
                <w:b/>
                <w:bCs/>
                <w:sz w:val="24"/>
              </w:rPr>
              <w:t>分值</w:t>
            </w:r>
          </w:p>
        </w:tc>
        <w:tc>
          <w:tcPr>
            <w:tcW w:w="898" w:type="dxa"/>
            <w:tcBorders>
              <w:left w:val="single" w:color="auto" w:sz="4" w:space="0"/>
              <w:right w:val="single" w:color="auto" w:sz="4" w:space="0"/>
            </w:tcBorders>
            <w:vAlign w:val="center"/>
          </w:tcPr>
          <w:p>
            <w:pPr>
              <w:spacing w:line="240" w:lineRule="exact"/>
              <w:jc w:val="center"/>
              <w:rPr>
                <w:rFonts w:eastAsia="仿宋_GB2312"/>
                <w:b/>
                <w:bCs/>
                <w:sz w:val="24"/>
              </w:rPr>
            </w:pPr>
            <w:r>
              <w:rPr>
                <w:rFonts w:eastAsia="仿宋_GB2312"/>
                <w:b/>
                <w:bCs/>
                <w:sz w:val="24"/>
              </w:rPr>
              <w:t>执行率</w:t>
            </w:r>
          </w:p>
        </w:tc>
        <w:tc>
          <w:tcPr>
            <w:tcW w:w="1446" w:type="dxa"/>
            <w:tcBorders>
              <w:left w:val="single" w:color="auto" w:sz="4" w:space="0"/>
              <w:right w:val="single" w:color="auto" w:sz="12" w:space="0"/>
            </w:tcBorders>
            <w:vAlign w:val="center"/>
          </w:tcPr>
          <w:p>
            <w:pPr>
              <w:spacing w:line="240" w:lineRule="exact"/>
              <w:jc w:val="center"/>
              <w:rPr>
                <w:rFonts w:eastAsia="仿宋_GB2312"/>
                <w:b/>
                <w:bCs/>
                <w:sz w:val="24"/>
              </w:rPr>
            </w:pPr>
            <w:r>
              <w:rPr>
                <w:rFonts w:eastAsia="仿宋_GB2312"/>
                <w:b/>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center"/>
              <w:rPr>
                <w:rFonts w:eastAsia="仿宋_GB2312"/>
                <w:b/>
                <w:bCs/>
                <w:color w:val="000000"/>
                <w:kern w:val="0"/>
                <w:sz w:val="24"/>
              </w:rPr>
            </w:pPr>
          </w:p>
        </w:tc>
        <w:tc>
          <w:tcPr>
            <w:tcW w:w="1989" w:type="dxa"/>
            <w:gridSpan w:val="3"/>
            <w:tcBorders>
              <w:left w:val="single" w:color="auto" w:sz="4" w:space="0"/>
              <w:right w:val="single" w:color="auto" w:sz="4" w:space="0"/>
            </w:tcBorders>
            <w:vAlign w:val="center"/>
          </w:tcPr>
          <w:p>
            <w:pPr>
              <w:jc w:val="center"/>
              <w:rPr>
                <w:rFonts w:eastAsia="仿宋_GB2312"/>
                <w:sz w:val="24"/>
              </w:rPr>
            </w:pPr>
            <w:r>
              <w:rPr>
                <w:rFonts w:eastAsia="仿宋_GB2312"/>
                <w:color w:val="000000"/>
                <w:kern w:val="0"/>
                <w:sz w:val="24"/>
              </w:rPr>
              <w:t>年度资金总额</w:t>
            </w:r>
          </w:p>
        </w:tc>
        <w:tc>
          <w:tcPr>
            <w:tcW w:w="1723" w:type="dxa"/>
            <w:tcBorders>
              <w:left w:val="single" w:color="auto" w:sz="4" w:space="0"/>
              <w:right w:val="single" w:color="auto" w:sz="4" w:space="0"/>
            </w:tcBorders>
            <w:vAlign w:val="center"/>
          </w:tcPr>
          <w:p>
            <w:pPr>
              <w:jc w:val="center"/>
              <w:rPr>
                <w:rFonts w:eastAsia="仿宋_GB2312"/>
                <w:sz w:val="24"/>
              </w:rPr>
            </w:pPr>
            <w:r>
              <w:rPr>
                <w:rFonts w:hint="eastAsia"/>
                <w:sz w:val="24"/>
              </w:rPr>
              <w:t>1</w:t>
            </w:r>
            <w:r>
              <w:rPr>
                <w:sz w:val="24"/>
              </w:rPr>
              <w:t>41.75</w:t>
            </w:r>
          </w:p>
        </w:tc>
        <w:tc>
          <w:tcPr>
            <w:tcW w:w="1295" w:type="dxa"/>
            <w:gridSpan w:val="2"/>
            <w:tcBorders>
              <w:left w:val="single" w:color="auto" w:sz="4" w:space="0"/>
              <w:right w:val="single" w:color="auto" w:sz="4" w:space="0"/>
            </w:tcBorders>
            <w:vAlign w:val="center"/>
          </w:tcPr>
          <w:p>
            <w:pPr>
              <w:jc w:val="center"/>
              <w:rPr>
                <w:rFonts w:eastAsia="仿宋_GB2312"/>
                <w:sz w:val="24"/>
              </w:rPr>
            </w:pPr>
            <w:r>
              <w:rPr>
                <w:sz w:val="24"/>
              </w:rPr>
              <w:t>266.77</w:t>
            </w:r>
          </w:p>
        </w:tc>
        <w:tc>
          <w:tcPr>
            <w:tcW w:w="1134" w:type="dxa"/>
            <w:tcBorders>
              <w:left w:val="single" w:color="auto" w:sz="4" w:space="0"/>
              <w:right w:val="single" w:color="auto" w:sz="4" w:space="0"/>
            </w:tcBorders>
            <w:vAlign w:val="center"/>
          </w:tcPr>
          <w:p>
            <w:pPr>
              <w:jc w:val="center"/>
              <w:rPr>
                <w:rFonts w:eastAsia="仿宋_GB2312"/>
                <w:sz w:val="24"/>
              </w:rPr>
            </w:pPr>
            <w:r>
              <w:rPr>
                <w:sz w:val="24"/>
              </w:rPr>
              <w:t>227.87</w:t>
            </w:r>
          </w:p>
        </w:tc>
        <w:tc>
          <w:tcPr>
            <w:tcW w:w="709" w:type="dxa"/>
            <w:tcBorders>
              <w:left w:val="single" w:color="auto" w:sz="4" w:space="0"/>
              <w:right w:val="single" w:color="auto" w:sz="4" w:space="0"/>
            </w:tcBorders>
            <w:vAlign w:val="center"/>
          </w:tcPr>
          <w:p>
            <w:pPr>
              <w:jc w:val="center"/>
              <w:rPr>
                <w:rFonts w:eastAsia="仿宋_GB2312"/>
                <w:sz w:val="24"/>
              </w:rPr>
            </w:pPr>
            <w:r>
              <w:rPr>
                <w:rFonts w:eastAsia="仿宋_GB2312"/>
                <w:sz w:val="24"/>
              </w:rPr>
              <w:t>10</w:t>
            </w:r>
          </w:p>
        </w:tc>
        <w:tc>
          <w:tcPr>
            <w:tcW w:w="898" w:type="dxa"/>
            <w:tcBorders>
              <w:left w:val="single" w:color="auto" w:sz="4" w:space="0"/>
              <w:right w:val="single" w:color="auto" w:sz="4" w:space="0"/>
            </w:tcBorders>
            <w:vAlign w:val="center"/>
          </w:tcPr>
          <w:p>
            <w:pPr>
              <w:jc w:val="center"/>
              <w:rPr>
                <w:rFonts w:eastAsia="仿宋_GB2312"/>
                <w:sz w:val="24"/>
              </w:rPr>
            </w:pPr>
            <w:r>
              <w:rPr>
                <w:sz w:val="24"/>
              </w:rPr>
              <w:t>85.42</w:t>
            </w:r>
            <w:r>
              <w:rPr>
                <w:rFonts w:hint="eastAsia"/>
                <w:sz w:val="24"/>
              </w:rPr>
              <w:t>%</w:t>
            </w:r>
          </w:p>
        </w:tc>
        <w:tc>
          <w:tcPr>
            <w:tcW w:w="1446" w:type="dxa"/>
            <w:tcBorders>
              <w:left w:val="single" w:color="auto" w:sz="4" w:space="0"/>
              <w:right w:val="single" w:color="auto" w:sz="12" w:space="0"/>
            </w:tcBorders>
            <w:vAlign w:val="center"/>
          </w:tcPr>
          <w:p>
            <w:pPr>
              <w:jc w:val="center"/>
              <w:rPr>
                <w:rFonts w:eastAsia="仿宋_GB2312"/>
                <w:sz w:val="24"/>
              </w:rPr>
            </w:pPr>
            <w:r>
              <w:rPr>
                <w:sz w:val="24"/>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b/>
                <w:bCs/>
                <w:color w:val="000000"/>
                <w:kern w:val="0"/>
                <w:sz w:val="24"/>
              </w:rPr>
            </w:pPr>
          </w:p>
        </w:tc>
        <w:tc>
          <w:tcPr>
            <w:tcW w:w="5007" w:type="dxa"/>
            <w:gridSpan w:val="6"/>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按收入性质分：</w:t>
            </w:r>
            <w:r>
              <w:rPr>
                <w:sz w:val="24"/>
              </w:rPr>
              <w:t>266.77</w:t>
            </w:r>
          </w:p>
        </w:tc>
        <w:tc>
          <w:tcPr>
            <w:tcW w:w="4187" w:type="dxa"/>
            <w:gridSpan w:val="4"/>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按支出性质分：</w:t>
            </w:r>
            <w:r>
              <w:rPr>
                <w:sz w:val="24"/>
              </w:rPr>
              <w:t>227.87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b/>
                <w:bCs/>
                <w:color w:val="000000"/>
                <w:kern w:val="0"/>
                <w:sz w:val="24"/>
              </w:rPr>
            </w:pPr>
          </w:p>
        </w:tc>
        <w:tc>
          <w:tcPr>
            <w:tcW w:w="5007" w:type="dxa"/>
            <w:gridSpan w:val="6"/>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xml:space="preserve">  其中：  一般公共预算：</w:t>
            </w:r>
            <w:r>
              <w:rPr>
                <w:sz w:val="24"/>
              </w:rPr>
              <w:t>266.77</w:t>
            </w:r>
          </w:p>
        </w:tc>
        <w:tc>
          <w:tcPr>
            <w:tcW w:w="4187" w:type="dxa"/>
            <w:gridSpan w:val="4"/>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其中：基本支出：</w:t>
            </w:r>
            <w:r>
              <w:rPr>
                <w:color w:val="000000"/>
                <w:kern w:val="0"/>
                <w:sz w:val="24"/>
              </w:rPr>
              <w:t>68.12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b/>
                <w:bCs/>
                <w:color w:val="000000"/>
                <w:kern w:val="0"/>
                <w:sz w:val="24"/>
              </w:rPr>
            </w:pPr>
          </w:p>
        </w:tc>
        <w:tc>
          <w:tcPr>
            <w:tcW w:w="5007" w:type="dxa"/>
            <w:gridSpan w:val="6"/>
            <w:tcBorders>
              <w:left w:val="single" w:color="auto" w:sz="4" w:space="0"/>
              <w:right w:val="single" w:color="auto" w:sz="4" w:space="0"/>
            </w:tcBorders>
            <w:vAlign w:val="center"/>
          </w:tcPr>
          <w:p>
            <w:pPr>
              <w:widowControl/>
              <w:ind w:firstLine="960" w:firstLineChars="400"/>
              <w:jc w:val="left"/>
              <w:rPr>
                <w:rFonts w:eastAsia="仿宋_GB2312"/>
                <w:color w:val="000000"/>
                <w:kern w:val="0"/>
                <w:sz w:val="24"/>
              </w:rPr>
            </w:pPr>
            <w:r>
              <w:rPr>
                <w:rFonts w:eastAsia="仿宋_GB2312"/>
                <w:color w:val="000000"/>
                <w:kern w:val="0"/>
                <w:sz w:val="24"/>
              </w:rPr>
              <w:t>政府性基金拨款：</w:t>
            </w:r>
          </w:p>
        </w:tc>
        <w:tc>
          <w:tcPr>
            <w:tcW w:w="4187" w:type="dxa"/>
            <w:gridSpan w:val="4"/>
            <w:tcBorders>
              <w:left w:val="single" w:color="auto" w:sz="4" w:space="0"/>
              <w:right w:val="single" w:color="auto" w:sz="12" w:space="0"/>
            </w:tcBorders>
            <w:vAlign w:val="center"/>
          </w:tcPr>
          <w:p>
            <w:pPr>
              <w:widowControl/>
              <w:ind w:firstLine="720" w:firstLineChars="300"/>
              <w:jc w:val="left"/>
              <w:rPr>
                <w:rFonts w:eastAsia="仿宋_GB2312"/>
                <w:color w:val="000000"/>
                <w:kern w:val="0"/>
                <w:sz w:val="24"/>
              </w:rPr>
            </w:pPr>
            <w:r>
              <w:rPr>
                <w:rFonts w:eastAsia="仿宋_GB2312"/>
                <w:color w:val="000000"/>
                <w:kern w:val="0"/>
                <w:sz w:val="24"/>
              </w:rPr>
              <w:t>项目支出：</w:t>
            </w:r>
            <w:r>
              <w:rPr>
                <w:color w:val="000000"/>
                <w:kern w:val="0"/>
                <w:sz w:val="24"/>
              </w:rPr>
              <w:t>159.75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b/>
                <w:bCs/>
                <w:color w:val="000000"/>
                <w:kern w:val="0"/>
                <w:sz w:val="24"/>
              </w:rPr>
            </w:pPr>
          </w:p>
        </w:tc>
        <w:tc>
          <w:tcPr>
            <w:tcW w:w="5007" w:type="dxa"/>
            <w:gridSpan w:val="6"/>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纳入专户管理的非税收入拨款：</w:t>
            </w:r>
          </w:p>
        </w:tc>
        <w:tc>
          <w:tcPr>
            <w:tcW w:w="4187" w:type="dxa"/>
            <w:gridSpan w:val="4"/>
            <w:tcBorders>
              <w:left w:val="single" w:color="auto" w:sz="4" w:space="0"/>
              <w:right w:val="single" w:color="auto" w:sz="12" w:space="0"/>
            </w:tcBorders>
            <w:vAlign w:val="center"/>
          </w:tcPr>
          <w:p>
            <w:pPr>
              <w:widowControl/>
              <w:jc w:val="left"/>
              <w:rPr>
                <w:rFonts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b/>
                <w:bCs/>
                <w:color w:val="000000"/>
                <w:kern w:val="0"/>
                <w:sz w:val="24"/>
              </w:rPr>
            </w:pPr>
          </w:p>
        </w:tc>
        <w:tc>
          <w:tcPr>
            <w:tcW w:w="5007" w:type="dxa"/>
            <w:gridSpan w:val="6"/>
            <w:tcBorders>
              <w:left w:val="single" w:color="auto" w:sz="4" w:space="0"/>
              <w:right w:val="single" w:color="auto" w:sz="4" w:space="0"/>
            </w:tcBorders>
            <w:vAlign w:val="center"/>
          </w:tcPr>
          <w:p>
            <w:pPr>
              <w:widowControl/>
              <w:ind w:firstLine="1680" w:firstLineChars="700"/>
              <w:jc w:val="left"/>
              <w:rPr>
                <w:rFonts w:eastAsia="仿宋_GB2312"/>
                <w:color w:val="000000"/>
                <w:kern w:val="0"/>
                <w:sz w:val="24"/>
              </w:rPr>
            </w:pPr>
            <w:r>
              <w:rPr>
                <w:rFonts w:eastAsia="仿宋_GB2312"/>
                <w:color w:val="000000"/>
                <w:kern w:val="0"/>
                <w:sz w:val="24"/>
              </w:rPr>
              <w:t>其他资金：</w:t>
            </w:r>
          </w:p>
        </w:tc>
        <w:tc>
          <w:tcPr>
            <w:tcW w:w="4187" w:type="dxa"/>
            <w:gridSpan w:val="4"/>
            <w:tcBorders>
              <w:left w:val="single" w:color="auto" w:sz="4" w:space="0"/>
              <w:right w:val="single" w:color="auto" w:sz="12" w:space="0"/>
            </w:tcBorders>
            <w:vAlign w:val="center"/>
          </w:tcPr>
          <w:p>
            <w:pPr>
              <w:widowControl/>
              <w:jc w:val="left"/>
              <w:rPr>
                <w:rFonts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restart"/>
            <w:tcBorders>
              <w:left w:val="single" w:color="auto" w:sz="12" w:space="0"/>
              <w:right w:val="single" w:color="auto" w:sz="4" w:space="0"/>
            </w:tcBorders>
            <w:vAlign w:val="center"/>
          </w:tcPr>
          <w:p>
            <w:pPr>
              <w:widowControl/>
              <w:jc w:val="center"/>
              <w:rPr>
                <w:rFonts w:eastAsia="仿宋_GB2312"/>
                <w:b/>
                <w:bCs/>
                <w:color w:val="000000"/>
                <w:kern w:val="0"/>
                <w:sz w:val="24"/>
              </w:rPr>
            </w:pPr>
            <w:r>
              <w:rPr>
                <w:rFonts w:eastAsia="仿宋_GB2312"/>
                <w:b/>
                <w:bCs/>
                <w:color w:val="000000"/>
                <w:kern w:val="0"/>
                <w:sz w:val="24"/>
              </w:rPr>
              <w:t>年度总目标</w:t>
            </w:r>
          </w:p>
        </w:tc>
        <w:tc>
          <w:tcPr>
            <w:tcW w:w="5007" w:type="dxa"/>
            <w:gridSpan w:val="6"/>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预期目标</w:t>
            </w:r>
          </w:p>
        </w:tc>
        <w:tc>
          <w:tcPr>
            <w:tcW w:w="4187" w:type="dxa"/>
            <w:gridSpan w:val="4"/>
            <w:tcBorders>
              <w:left w:val="single" w:color="auto" w:sz="4" w:space="0"/>
              <w:right w:val="single" w:color="auto" w:sz="12" w:space="0"/>
            </w:tcBorders>
            <w:vAlign w:val="center"/>
          </w:tcPr>
          <w:p>
            <w:pPr>
              <w:widowControl/>
              <w:jc w:val="center"/>
              <w:rPr>
                <w:rFonts w:eastAsia="仿宋_GB2312"/>
                <w:color w:val="000000"/>
                <w:kern w:val="0"/>
                <w:sz w:val="24"/>
              </w:rPr>
            </w:pPr>
            <w:r>
              <w:rPr>
                <w:rFonts w:eastAsia="仿宋_GB2312"/>
                <w:color w:val="000000"/>
                <w:kern w:val="0"/>
                <w:sz w:val="24"/>
              </w:rPr>
              <w:t>实际完成情况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color w:val="000000"/>
                <w:kern w:val="0"/>
                <w:sz w:val="24"/>
              </w:rPr>
            </w:pPr>
          </w:p>
        </w:tc>
        <w:tc>
          <w:tcPr>
            <w:tcW w:w="5007" w:type="dxa"/>
            <w:gridSpan w:val="6"/>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　　</w:t>
            </w:r>
          </w:p>
        </w:tc>
        <w:tc>
          <w:tcPr>
            <w:tcW w:w="4187" w:type="dxa"/>
            <w:gridSpan w:val="4"/>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831" w:type="dxa"/>
            <w:vMerge w:val="restart"/>
            <w:tcBorders>
              <w:left w:val="single" w:color="auto" w:sz="12" w:space="0"/>
              <w:right w:val="single" w:color="auto" w:sz="4" w:space="0"/>
            </w:tcBorders>
            <w:vAlign w:val="center"/>
          </w:tcPr>
          <w:p>
            <w:pPr>
              <w:widowControl/>
              <w:jc w:val="center"/>
              <w:rPr>
                <w:rFonts w:eastAsia="仿宋_GB2312"/>
                <w:b/>
                <w:bCs/>
                <w:color w:val="000000"/>
                <w:kern w:val="0"/>
                <w:sz w:val="24"/>
              </w:rPr>
            </w:pPr>
            <w:r>
              <w:rPr>
                <w:rFonts w:eastAsia="仿宋_GB2312"/>
                <w:b/>
                <w:bCs/>
                <w:color w:val="000000"/>
                <w:kern w:val="0"/>
                <w:sz w:val="24"/>
              </w:rPr>
              <w:t>绩</w:t>
            </w:r>
          </w:p>
          <w:p>
            <w:pPr>
              <w:widowControl/>
              <w:jc w:val="center"/>
              <w:rPr>
                <w:rFonts w:eastAsia="仿宋_GB2312"/>
                <w:b/>
                <w:bCs/>
                <w:color w:val="000000"/>
                <w:kern w:val="0"/>
                <w:sz w:val="24"/>
              </w:rPr>
            </w:pPr>
            <w:r>
              <w:rPr>
                <w:rFonts w:eastAsia="仿宋_GB2312"/>
                <w:b/>
                <w:bCs/>
                <w:color w:val="000000"/>
                <w:kern w:val="0"/>
                <w:sz w:val="24"/>
              </w:rPr>
              <w:t>效</w:t>
            </w:r>
          </w:p>
          <w:p>
            <w:pPr>
              <w:widowControl/>
              <w:jc w:val="center"/>
              <w:rPr>
                <w:rFonts w:eastAsia="仿宋_GB2312"/>
                <w:b/>
                <w:bCs/>
                <w:color w:val="000000"/>
                <w:kern w:val="0"/>
                <w:sz w:val="24"/>
              </w:rPr>
            </w:pPr>
            <w:r>
              <w:rPr>
                <w:rFonts w:eastAsia="仿宋_GB2312"/>
                <w:b/>
                <w:bCs/>
                <w:color w:val="000000"/>
                <w:kern w:val="0"/>
                <w:sz w:val="24"/>
              </w:rPr>
              <w:t>指</w:t>
            </w:r>
          </w:p>
          <w:p>
            <w:pPr>
              <w:widowControl/>
              <w:jc w:val="center"/>
              <w:rPr>
                <w:rFonts w:eastAsia="仿宋_GB2312"/>
                <w:color w:val="000000"/>
                <w:kern w:val="0"/>
                <w:sz w:val="24"/>
              </w:rPr>
            </w:pPr>
            <w:r>
              <w:rPr>
                <w:rFonts w:eastAsia="仿宋_GB2312"/>
                <w:b/>
                <w:bCs/>
                <w:color w:val="000000"/>
                <w:kern w:val="0"/>
                <w:sz w:val="24"/>
              </w:rPr>
              <w:t>标</w:t>
            </w:r>
          </w:p>
        </w:tc>
        <w:tc>
          <w:tcPr>
            <w:tcW w:w="855" w:type="dxa"/>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一级指标</w:t>
            </w:r>
          </w:p>
        </w:tc>
        <w:tc>
          <w:tcPr>
            <w:tcW w:w="1134" w:type="dxa"/>
            <w:gridSpan w:val="2"/>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二级指标</w:t>
            </w:r>
          </w:p>
        </w:tc>
        <w:tc>
          <w:tcPr>
            <w:tcW w:w="1818" w:type="dxa"/>
            <w:gridSpan w:val="2"/>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三级指标</w:t>
            </w:r>
          </w:p>
        </w:tc>
        <w:tc>
          <w:tcPr>
            <w:tcW w:w="1200" w:type="dxa"/>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年度</w:t>
            </w:r>
          </w:p>
          <w:p>
            <w:pPr>
              <w:widowControl/>
              <w:spacing w:line="240" w:lineRule="exact"/>
              <w:jc w:val="center"/>
              <w:rPr>
                <w:rFonts w:eastAsia="仿宋_GB2312"/>
                <w:color w:val="000000"/>
                <w:kern w:val="0"/>
                <w:sz w:val="24"/>
              </w:rPr>
            </w:pPr>
            <w:r>
              <w:rPr>
                <w:rFonts w:eastAsia="仿宋_GB2312"/>
                <w:color w:val="000000"/>
                <w:kern w:val="0"/>
                <w:sz w:val="24"/>
              </w:rPr>
              <w:t>指标值</w:t>
            </w:r>
          </w:p>
        </w:tc>
        <w:tc>
          <w:tcPr>
            <w:tcW w:w="1134" w:type="dxa"/>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实际</w:t>
            </w:r>
          </w:p>
          <w:p>
            <w:pPr>
              <w:widowControl/>
              <w:spacing w:line="240" w:lineRule="exact"/>
              <w:jc w:val="center"/>
              <w:rPr>
                <w:rFonts w:eastAsia="仿宋_GB2312"/>
                <w:color w:val="000000"/>
                <w:kern w:val="0"/>
                <w:sz w:val="24"/>
              </w:rPr>
            </w:pPr>
            <w:r>
              <w:rPr>
                <w:rFonts w:eastAsia="仿宋_GB2312"/>
                <w:color w:val="000000"/>
                <w:kern w:val="0"/>
                <w:sz w:val="24"/>
              </w:rPr>
              <w:t>完成值</w:t>
            </w:r>
          </w:p>
        </w:tc>
        <w:tc>
          <w:tcPr>
            <w:tcW w:w="709" w:type="dxa"/>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分值</w:t>
            </w:r>
          </w:p>
        </w:tc>
        <w:tc>
          <w:tcPr>
            <w:tcW w:w="898" w:type="dxa"/>
            <w:tcBorders>
              <w:left w:val="single" w:color="auto" w:sz="4" w:space="0"/>
              <w:right w:val="single" w:color="auto" w:sz="4" w:space="0"/>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得分</w:t>
            </w:r>
          </w:p>
        </w:tc>
        <w:tc>
          <w:tcPr>
            <w:tcW w:w="1446" w:type="dxa"/>
            <w:tcBorders>
              <w:left w:val="single" w:color="auto" w:sz="4" w:space="0"/>
              <w:right w:val="single" w:color="auto" w:sz="12" w:space="0"/>
            </w:tcBorders>
          </w:tcPr>
          <w:p>
            <w:pPr>
              <w:widowControl/>
              <w:spacing w:line="240" w:lineRule="exact"/>
              <w:jc w:val="center"/>
              <w:rPr>
                <w:rFonts w:eastAsia="仿宋_GB2312"/>
                <w:color w:val="000000"/>
                <w:kern w:val="0"/>
                <w:sz w:val="24"/>
              </w:rPr>
            </w:pPr>
            <w:r>
              <w:rPr>
                <w:rFonts w:eastAsia="仿宋_GB2312"/>
                <w:color w:val="000000"/>
                <w:kern w:val="0"/>
                <w:sz w:val="24"/>
              </w:rPr>
              <w:t>偏差原因及</w:t>
            </w:r>
          </w:p>
          <w:p>
            <w:pPr>
              <w:widowControl/>
              <w:spacing w:line="240" w:lineRule="exact"/>
              <w:jc w:val="center"/>
              <w:rPr>
                <w:rFonts w:eastAsia="仿宋_GB2312"/>
                <w:color w:val="000000"/>
                <w:kern w:val="0"/>
                <w:sz w:val="24"/>
              </w:rPr>
            </w:pPr>
            <w:r>
              <w:rPr>
                <w:rFonts w:eastAsia="仿宋_GB2312"/>
                <w:color w:val="000000"/>
                <w:kern w:val="0"/>
                <w:sz w:val="24"/>
              </w:rPr>
              <w:t>改进措施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产出指标</w:t>
            </w:r>
          </w:p>
          <w:p>
            <w:pPr>
              <w:widowControl/>
              <w:jc w:val="center"/>
              <w:rPr>
                <w:rFonts w:eastAsia="仿宋_GB2312"/>
                <w:color w:val="000000"/>
                <w:kern w:val="0"/>
                <w:sz w:val="24"/>
              </w:rPr>
            </w:pPr>
            <w:r>
              <w:rPr>
                <w:rFonts w:eastAsia="仿宋_GB2312"/>
                <w:color w:val="000000"/>
                <w:kern w:val="0"/>
                <w:sz w:val="24"/>
              </w:rPr>
              <w:t>(50分)</w:t>
            </w: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数量</w:t>
            </w:r>
          </w:p>
          <w:p>
            <w:pPr>
              <w:widowControl/>
              <w:jc w:val="center"/>
              <w:rPr>
                <w:rFonts w:eastAsia="仿宋_GB2312"/>
                <w:color w:val="000000"/>
                <w:kern w:val="0"/>
                <w:sz w:val="24"/>
              </w:rPr>
            </w:pPr>
            <w:r>
              <w:rPr>
                <w:rFonts w:eastAsia="仿宋_GB2312"/>
                <w:color w:val="000000"/>
                <w:kern w:val="0"/>
                <w:sz w:val="24"/>
              </w:rPr>
              <w:t>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center"/>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质量</w:t>
            </w:r>
          </w:p>
          <w:p>
            <w:pPr>
              <w:widowControl/>
              <w:jc w:val="center"/>
              <w:rPr>
                <w:rFonts w:eastAsia="仿宋_GB2312"/>
                <w:color w:val="000000"/>
                <w:kern w:val="0"/>
                <w:sz w:val="24"/>
              </w:rPr>
            </w:pPr>
            <w:r>
              <w:rPr>
                <w:rFonts w:eastAsia="仿宋_GB2312"/>
                <w:color w:val="000000"/>
                <w:kern w:val="0"/>
                <w:sz w:val="24"/>
              </w:rPr>
              <w:t>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center"/>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时效</w:t>
            </w:r>
          </w:p>
          <w:p>
            <w:pPr>
              <w:widowControl/>
              <w:jc w:val="center"/>
              <w:rPr>
                <w:rFonts w:eastAsia="仿宋_GB2312"/>
                <w:color w:val="000000"/>
                <w:kern w:val="0"/>
                <w:sz w:val="24"/>
              </w:rPr>
            </w:pPr>
            <w:r>
              <w:rPr>
                <w:rFonts w:eastAsia="仿宋_GB2312"/>
                <w:color w:val="000000"/>
                <w:kern w:val="0"/>
                <w:sz w:val="24"/>
              </w:rPr>
              <w:t>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center"/>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成本</w:t>
            </w:r>
          </w:p>
          <w:p>
            <w:pPr>
              <w:widowControl/>
              <w:jc w:val="center"/>
              <w:rPr>
                <w:rFonts w:eastAsia="仿宋_GB2312"/>
                <w:color w:val="000000"/>
                <w:kern w:val="0"/>
                <w:sz w:val="24"/>
              </w:rPr>
            </w:pPr>
            <w:r>
              <w:rPr>
                <w:rFonts w:eastAsia="仿宋_GB2312"/>
                <w:color w:val="000000"/>
                <w:kern w:val="0"/>
                <w:sz w:val="24"/>
              </w:rPr>
              <w:t>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效益指标</w:t>
            </w:r>
            <w:r>
              <w:rPr>
                <w:rFonts w:eastAsia="仿宋_GB2312"/>
                <w:color w:val="000000"/>
                <w:kern w:val="0"/>
                <w:sz w:val="18"/>
                <w:szCs w:val="18"/>
              </w:rPr>
              <w:t>（30分）</w:t>
            </w:r>
            <w:r>
              <w:rPr>
                <w:rFonts w:eastAsia="仿宋_GB2312"/>
                <w:color w:val="000000"/>
                <w:kern w:val="0"/>
                <w:sz w:val="24"/>
              </w:rPr>
              <w:t>　</w:t>
            </w: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经济效</w:t>
            </w:r>
          </w:p>
          <w:p>
            <w:pPr>
              <w:widowControl/>
              <w:jc w:val="center"/>
              <w:rPr>
                <w:rFonts w:eastAsia="仿宋_GB2312"/>
                <w:color w:val="000000"/>
                <w:kern w:val="0"/>
                <w:sz w:val="24"/>
              </w:rPr>
            </w:pPr>
            <w:r>
              <w:rPr>
                <w:rFonts w:eastAsia="仿宋_GB2312"/>
                <w:color w:val="000000"/>
                <w:kern w:val="0"/>
                <w:sz w:val="24"/>
              </w:rPr>
              <w:t>益指标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center"/>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社会效</w:t>
            </w:r>
          </w:p>
          <w:p>
            <w:pPr>
              <w:widowControl/>
              <w:jc w:val="center"/>
              <w:rPr>
                <w:rFonts w:eastAsia="仿宋_GB2312"/>
                <w:color w:val="000000"/>
                <w:kern w:val="0"/>
                <w:sz w:val="24"/>
              </w:rPr>
            </w:pPr>
            <w:r>
              <w:rPr>
                <w:rFonts w:eastAsia="仿宋_GB2312"/>
                <w:color w:val="000000"/>
                <w:kern w:val="0"/>
                <w:sz w:val="24"/>
              </w:rPr>
              <w:t>益指标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center"/>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生态效</w:t>
            </w:r>
          </w:p>
          <w:p>
            <w:pPr>
              <w:widowControl/>
              <w:jc w:val="center"/>
              <w:rPr>
                <w:rFonts w:eastAsia="仿宋_GB2312"/>
                <w:color w:val="000000"/>
                <w:kern w:val="0"/>
                <w:sz w:val="24"/>
              </w:rPr>
            </w:pPr>
            <w:r>
              <w:rPr>
                <w:rFonts w:eastAsia="仿宋_GB2312"/>
                <w:color w:val="000000"/>
                <w:kern w:val="0"/>
                <w:sz w:val="24"/>
              </w:rPr>
              <w:t>益指标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jc w:val="center"/>
        </w:trPr>
        <w:tc>
          <w:tcPr>
            <w:tcW w:w="831" w:type="dxa"/>
            <w:vMerge w:val="continue"/>
            <w:tcBorders>
              <w:left w:val="single" w:color="auto" w:sz="12" w:space="0"/>
              <w:right w:val="single" w:color="auto" w:sz="4" w:space="0"/>
            </w:tcBorders>
            <w:vAlign w:val="center"/>
          </w:tcPr>
          <w:p>
            <w:pPr>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widowControl/>
              <w:jc w:val="center"/>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Cs w:val="21"/>
              </w:rPr>
              <w:t>可持续影响指标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831" w:type="dxa"/>
            <w:vMerge w:val="continue"/>
            <w:tcBorders>
              <w:left w:val="single" w:color="auto" w:sz="12" w:space="0"/>
              <w:right w:val="single" w:color="auto" w:sz="4" w:space="0"/>
            </w:tcBorders>
            <w:vAlign w:val="center"/>
          </w:tcPr>
          <w:p>
            <w:pPr>
              <w:jc w:val="left"/>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1" w:type="dxa"/>
            <w:vMerge w:val="continue"/>
            <w:tcBorders>
              <w:left w:val="single" w:color="auto" w:sz="12" w:space="0"/>
              <w:right w:val="single" w:color="auto" w:sz="4" w:space="0"/>
            </w:tcBorders>
            <w:vAlign w:val="center"/>
          </w:tcPr>
          <w:p>
            <w:pPr>
              <w:jc w:val="left"/>
              <w:rPr>
                <w:rFonts w:eastAsia="仿宋_GB2312"/>
                <w:color w:val="000000"/>
                <w:kern w:val="0"/>
                <w:sz w:val="24"/>
              </w:rPr>
            </w:pPr>
          </w:p>
        </w:tc>
        <w:tc>
          <w:tcPr>
            <w:tcW w:w="855" w:type="dxa"/>
            <w:vMerge w:val="restart"/>
            <w:tcBorders>
              <w:left w:val="single" w:color="auto" w:sz="4" w:space="0"/>
              <w:right w:val="single" w:color="auto" w:sz="4" w:space="0"/>
            </w:tcBorders>
            <w:vAlign w:val="center"/>
          </w:tcPr>
          <w:p>
            <w:pPr>
              <w:widowControl/>
              <w:jc w:val="center"/>
              <w:rPr>
                <w:rFonts w:eastAsia="仿宋_GB2312"/>
                <w:color w:val="000000"/>
                <w:kern w:val="0"/>
                <w:szCs w:val="21"/>
              </w:rPr>
            </w:pPr>
            <w:r>
              <w:rPr>
                <w:rFonts w:eastAsia="仿宋_GB2312"/>
                <w:color w:val="000000"/>
                <w:kern w:val="0"/>
                <w:szCs w:val="21"/>
              </w:rPr>
              <w:t>满意度</w:t>
            </w:r>
          </w:p>
          <w:p>
            <w:pPr>
              <w:widowControl/>
              <w:jc w:val="center"/>
              <w:rPr>
                <w:rFonts w:eastAsia="仿宋_GB2312"/>
                <w:color w:val="000000"/>
                <w:kern w:val="0"/>
                <w:szCs w:val="21"/>
              </w:rPr>
            </w:pPr>
            <w:r>
              <w:rPr>
                <w:rFonts w:eastAsia="仿宋_GB2312"/>
                <w:color w:val="000000"/>
                <w:kern w:val="0"/>
                <w:szCs w:val="21"/>
              </w:rPr>
              <w:t>指标</w:t>
            </w:r>
          </w:p>
          <w:p>
            <w:pPr>
              <w:widowControl/>
              <w:jc w:val="center"/>
              <w:rPr>
                <w:rFonts w:eastAsia="仿宋_GB2312"/>
                <w:color w:val="000000"/>
                <w:kern w:val="0"/>
                <w:sz w:val="24"/>
              </w:rPr>
            </w:pPr>
            <w:r>
              <w:rPr>
                <w:rFonts w:eastAsia="仿宋_GB2312"/>
                <w:color w:val="000000"/>
                <w:kern w:val="0"/>
                <w:szCs w:val="21"/>
              </w:rPr>
              <w:t>（10分）</w:t>
            </w:r>
          </w:p>
        </w:tc>
        <w:tc>
          <w:tcPr>
            <w:tcW w:w="1134" w:type="dxa"/>
            <w:gridSpan w:val="2"/>
            <w:vMerge w:val="restart"/>
            <w:tcBorders>
              <w:left w:val="single" w:color="auto" w:sz="4"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服务对象满意度指标</w:t>
            </w: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831" w:type="dxa"/>
            <w:vMerge w:val="continue"/>
            <w:tcBorders>
              <w:left w:val="single" w:color="auto" w:sz="12" w:space="0"/>
              <w:right w:val="single" w:color="auto" w:sz="4" w:space="0"/>
            </w:tcBorders>
            <w:vAlign w:val="center"/>
          </w:tcPr>
          <w:p>
            <w:pPr>
              <w:widowControl/>
              <w:jc w:val="left"/>
              <w:rPr>
                <w:rFonts w:eastAsia="仿宋_GB2312"/>
                <w:color w:val="000000"/>
                <w:kern w:val="0"/>
                <w:sz w:val="24"/>
              </w:rPr>
            </w:pPr>
          </w:p>
        </w:tc>
        <w:tc>
          <w:tcPr>
            <w:tcW w:w="855" w:type="dxa"/>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134" w:type="dxa"/>
            <w:gridSpan w:val="2"/>
            <w:vMerge w:val="continue"/>
            <w:tcBorders>
              <w:left w:val="single" w:color="auto" w:sz="4" w:space="0"/>
              <w:right w:val="single" w:color="auto" w:sz="4" w:space="0"/>
            </w:tcBorders>
            <w:vAlign w:val="center"/>
          </w:tcPr>
          <w:p>
            <w:pPr>
              <w:widowControl/>
              <w:jc w:val="left"/>
              <w:rPr>
                <w:rFonts w:eastAsia="仿宋_GB2312"/>
                <w:color w:val="000000"/>
                <w:kern w:val="0"/>
                <w:sz w:val="24"/>
              </w:rPr>
            </w:pPr>
          </w:p>
        </w:tc>
        <w:tc>
          <w:tcPr>
            <w:tcW w:w="1818" w:type="dxa"/>
            <w:gridSpan w:val="2"/>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w:t>
            </w:r>
          </w:p>
        </w:tc>
        <w:tc>
          <w:tcPr>
            <w:tcW w:w="1200"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134"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709"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898" w:type="dxa"/>
            <w:tcBorders>
              <w:left w:val="single" w:color="auto" w:sz="4"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972" w:type="dxa"/>
            <w:gridSpan w:val="8"/>
            <w:tcBorders>
              <w:left w:val="single" w:color="auto" w:sz="12" w:space="0"/>
              <w:bottom w:val="single" w:color="auto" w:sz="12"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总分</w:t>
            </w:r>
          </w:p>
        </w:tc>
        <w:tc>
          <w:tcPr>
            <w:tcW w:w="709" w:type="dxa"/>
            <w:tcBorders>
              <w:left w:val="single" w:color="auto" w:sz="4" w:space="0"/>
              <w:bottom w:val="single" w:color="auto" w:sz="12" w:space="0"/>
              <w:right w:val="single" w:color="auto" w:sz="4" w:space="0"/>
            </w:tcBorders>
            <w:vAlign w:val="center"/>
          </w:tcPr>
          <w:p>
            <w:pPr>
              <w:widowControl/>
              <w:jc w:val="center"/>
              <w:rPr>
                <w:rFonts w:eastAsia="仿宋_GB2312"/>
                <w:color w:val="000000"/>
                <w:kern w:val="0"/>
                <w:sz w:val="24"/>
              </w:rPr>
            </w:pPr>
            <w:r>
              <w:rPr>
                <w:rFonts w:eastAsia="仿宋_GB2312"/>
                <w:color w:val="000000"/>
                <w:kern w:val="0"/>
                <w:sz w:val="24"/>
              </w:rPr>
              <w:t>100</w:t>
            </w:r>
          </w:p>
        </w:tc>
        <w:tc>
          <w:tcPr>
            <w:tcW w:w="898" w:type="dxa"/>
            <w:tcBorders>
              <w:left w:val="single" w:color="auto" w:sz="4" w:space="0"/>
              <w:bottom w:val="single" w:color="auto" w:sz="12" w:space="0"/>
              <w:right w:val="single" w:color="auto" w:sz="4" w:space="0"/>
            </w:tcBorders>
            <w:vAlign w:val="center"/>
          </w:tcPr>
          <w:p>
            <w:pPr>
              <w:widowControl/>
              <w:jc w:val="left"/>
              <w:rPr>
                <w:rFonts w:eastAsia="仿宋_GB2312"/>
                <w:color w:val="000000"/>
                <w:kern w:val="0"/>
                <w:sz w:val="24"/>
              </w:rPr>
            </w:pPr>
            <w:r>
              <w:rPr>
                <w:rFonts w:eastAsia="仿宋_GB2312"/>
                <w:color w:val="000000"/>
                <w:kern w:val="0"/>
                <w:sz w:val="24"/>
              </w:rPr>
              <w:t>　</w:t>
            </w:r>
          </w:p>
        </w:tc>
        <w:tc>
          <w:tcPr>
            <w:tcW w:w="1446" w:type="dxa"/>
            <w:tcBorders>
              <w:left w:val="single" w:color="auto" w:sz="4" w:space="0"/>
              <w:bottom w:val="single" w:color="auto" w:sz="12" w:space="0"/>
              <w:right w:val="single" w:color="auto" w:sz="12" w:space="0"/>
            </w:tcBorders>
            <w:vAlign w:val="center"/>
          </w:tcPr>
          <w:p>
            <w:pPr>
              <w:widowControl/>
              <w:jc w:val="left"/>
              <w:rPr>
                <w:rFonts w:eastAsia="仿宋_GB2312"/>
                <w:color w:val="000000"/>
                <w:kern w:val="0"/>
                <w:sz w:val="24"/>
              </w:rPr>
            </w:pPr>
            <w:r>
              <w:rPr>
                <w:rFonts w:eastAsia="仿宋_GB2312"/>
                <w:color w:val="000000"/>
                <w:kern w:val="0"/>
                <w:sz w:val="24"/>
              </w:rPr>
              <w:t>　</w:t>
            </w:r>
          </w:p>
        </w:tc>
      </w:tr>
    </w:tbl>
    <w:p>
      <w:pPr>
        <w:widowControl/>
        <w:spacing w:line="600" w:lineRule="exact"/>
        <w:rPr>
          <w:rFonts w:eastAsia="黑体"/>
          <w:kern w:val="0"/>
          <w:sz w:val="32"/>
          <w:szCs w:val="32"/>
        </w:rPr>
      </w:pPr>
      <w:r>
        <w:rPr>
          <w:rFonts w:eastAsia="黑体"/>
          <w:kern w:val="0"/>
          <w:sz w:val="32"/>
          <w:szCs w:val="32"/>
        </w:rPr>
        <w:t>附件</w:t>
      </w:r>
      <w:r>
        <w:rPr>
          <w:rFonts w:hint="eastAsia" w:eastAsia="黑体"/>
          <w:kern w:val="0"/>
          <w:sz w:val="32"/>
          <w:szCs w:val="32"/>
        </w:rPr>
        <w:t>3</w:t>
      </w:r>
    </w:p>
    <w:p>
      <w:pPr>
        <w:jc w:val="center"/>
        <w:rPr>
          <w:rFonts w:eastAsia="方正小标宋_GBK"/>
          <w:spacing w:val="-6"/>
          <w:sz w:val="32"/>
          <w:szCs w:val="32"/>
        </w:rPr>
      </w:pPr>
      <w:r>
        <w:rPr>
          <w:rFonts w:eastAsia="方正小标宋_GBK"/>
          <w:sz w:val="32"/>
          <w:szCs w:val="32"/>
        </w:rPr>
        <w:t>部门</w:t>
      </w:r>
      <w:r>
        <w:rPr>
          <w:rFonts w:hint="eastAsia" w:eastAsia="方正小标宋_GBK"/>
          <w:sz w:val="32"/>
          <w:szCs w:val="32"/>
        </w:rPr>
        <w:t>整体支出</w:t>
      </w:r>
      <w:r>
        <w:rPr>
          <w:rFonts w:eastAsia="方正小标宋_GBK"/>
          <w:spacing w:val="-6"/>
          <w:sz w:val="32"/>
          <w:szCs w:val="32"/>
        </w:rPr>
        <w:t>绩效自评工作考核评分表</w:t>
      </w:r>
    </w:p>
    <w:tbl>
      <w:tblPr>
        <w:tblStyle w:val="5"/>
        <w:tblW w:w="950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500"/>
        <w:gridCol w:w="6477"/>
        <w:gridCol w:w="75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blHeader/>
          <w:jc w:val="center"/>
        </w:trPr>
        <w:tc>
          <w:tcPr>
            <w:tcW w:w="774"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一级指标</w:t>
            </w: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二级指标</w:t>
            </w:r>
          </w:p>
        </w:tc>
        <w:tc>
          <w:tcPr>
            <w:tcW w:w="6477"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评分标准</w:t>
            </w:r>
          </w:p>
        </w:tc>
        <w:tc>
          <w:tcPr>
            <w:tcW w:w="752"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评分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68" w:hRule="atLeast"/>
          <w:jc w:val="center"/>
        </w:trPr>
        <w:tc>
          <w:tcPr>
            <w:tcW w:w="774" w:type="dxa"/>
            <w:vMerge w:val="restart"/>
            <w:tcBorders>
              <w:tl2br w:val="nil"/>
              <w:tr2bl w:val="nil"/>
            </w:tcBorders>
            <w:vAlign w:val="center"/>
          </w:tcPr>
          <w:p>
            <w:pPr>
              <w:spacing w:line="300" w:lineRule="exact"/>
              <w:jc w:val="center"/>
              <w:rPr>
                <w:rFonts w:ascii="仿宋" w:hAnsi="仿宋" w:eastAsia="仿宋" w:cs="仿宋"/>
                <w:b/>
                <w:bCs/>
                <w:sz w:val="24"/>
              </w:rPr>
            </w:pPr>
            <w:r>
              <w:rPr>
                <w:rFonts w:hint="eastAsia" w:ascii="仿宋" w:hAnsi="仿宋" w:eastAsia="仿宋" w:cs="仿宋"/>
                <w:b/>
                <w:bCs/>
                <w:sz w:val="24"/>
              </w:rPr>
              <w:t>布置工作</w:t>
            </w:r>
          </w:p>
          <w:p>
            <w:pPr>
              <w:spacing w:line="300" w:lineRule="exact"/>
              <w:jc w:val="center"/>
              <w:rPr>
                <w:rFonts w:ascii="仿宋" w:hAnsi="仿宋" w:eastAsia="仿宋" w:cs="仿宋"/>
                <w:b/>
                <w:bCs/>
                <w:sz w:val="24"/>
              </w:rPr>
            </w:pPr>
          </w:p>
          <w:p>
            <w:pPr>
              <w:spacing w:line="300" w:lineRule="exact"/>
              <w:jc w:val="left"/>
              <w:rPr>
                <w:rFonts w:ascii="仿宋" w:hAnsi="仿宋" w:eastAsia="仿宋" w:cs="仿宋"/>
                <w:b/>
                <w:bCs/>
                <w:sz w:val="24"/>
              </w:rPr>
            </w:pPr>
            <w:r>
              <w:rPr>
                <w:rFonts w:hint="eastAsia" w:ascii="仿宋" w:hAnsi="仿宋" w:eastAsia="仿宋" w:cs="仿宋"/>
                <w:b/>
                <w:bCs/>
                <w:sz w:val="24"/>
              </w:rPr>
              <w:t>10分</w:t>
            </w: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自评通知</w:t>
            </w:r>
          </w:p>
          <w:p>
            <w:pPr>
              <w:spacing w:line="240" w:lineRule="exact"/>
              <w:jc w:val="center"/>
              <w:rPr>
                <w:rFonts w:ascii="仿宋" w:hAnsi="仿宋" w:eastAsia="仿宋" w:cs="仿宋"/>
                <w:b/>
                <w:bCs/>
                <w:sz w:val="24"/>
              </w:rPr>
            </w:pPr>
            <w:r>
              <w:rPr>
                <w:rFonts w:hint="eastAsia" w:ascii="仿宋" w:hAnsi="仿宋" w:eastAsia="仿宋" w:cs="仿宋"/>
                <w:b/>
                <w:bCs/>
                <w:sz w:val="24"/>
              </w:rPr>
              <w:t>（8分）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1、印发绩效自评通知的得2分，否则不得分。</w:t>
            </w:r>
          </w:p>
          <w:p>
            <w:pPr>
              <w:spacing w:line="240" w:lineRule="exact"/>
              <w:ind w:firstLine="240" w:firstLineChars="100"/>
              <w:rPr>
                <w:rFonts w:ascii="仿宋" w:hAnsi="仿宋" w:eastAsia="仿宋" w:cs="仿宋"/>
                <w:sz w:val="24"/>
              </w:rPr>
            </w:pPr>
            <w:r>
              <w:rPr>
                <w:rFonts w:hint="eastAsia" w:ascii="仿宋" w:hAnsi="仿宋" w:eastAsia="仿宋" w:cs="仿宋"/>
                <w:sz w:val="24"/>
              </w:rPr>
              <w:t>2、按照本规程规定，绩效自评通知包括自评范围、自评主要依据、自评主要内容、自评程序和步骤、有关要求等内容，并附有本规程要求的附件的，得6分；否则缺1项扣1分，最多扣6分。</w:t>
            </w:r>
          </w:p>
        </w:tc>
        <w:tc>
          <w:tcPr>
            <w:tcW w:w="752" w:type="dxa"/>
            <w:tcBorders>
              <w:tl2br w:val="nil"/>
              <w:tr2bl w:val="nil"/>
            </w:tcBorders>
            <w:vAlign w:val="center"/>
          </w:tcPr>
          <w:p>
            <w:pPr>
              <w:spacing w:line="240" w:lineRule="exact"/>
              <w:rPr>
                <w:rFonts w:ascii="仿宋" w:hAnsi="仿宋" w:eastAsia="仿宋" w:cs="仿宋"/>
                <w:sz w:val="24"/>
              </w:rPr>
            </w:pPr>
            <w:r>
              <w:rPr>
                <w:rFonts w:hint="eastAsia" w:ascii="仿宋" w:hAnsi="仿宋" w:eastAsia="仿宋" w:cs="仿宋"/>
                <w:sz w:val="24"/>
              </w:rPr>
              <w:t>　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774" w:type="dxa"/>
            <w:vMerge w:val="continue"/>
            <w:tcBorders>
              <w:tl2br w:val="nil"/>
              <w:tr2bl w:val="nil"/>
            </w:tcBorders>
            <w:vAlign w:val="center"/>
          </w:tcPr>
          <w:p>
            <w:pPr>
              <w:spacing w:line="240" w:lineRule="exact"/>
              <w:rPr>
                <w:rFonts w:ascii="仿宋" w:hAnsi="仿宋" w:eastAsia="仿宋" w:cs="仿宋"/>
                <w:b/>
                <w:bCs/>
                <w:sz w:val="24"/>
              </w:rPr>
            </w:pP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工作小组</w:t>
            </w:r>
          </w:p>
          <w:p>
            <w:pPr>
              <w:spacing w:line="240" w:lineRule="exact"/>
              <w:jc w:val="center"/>
              <w:rPr>
                <w:rFonts w:ascii="仿宋" w:hAnsi="仿宋" w:eastAsia="仿宋" w:cs="仿宋"/>
                <w:b/>
                <w:bCs/>
                <w:sz w:val="24"/>
              </w:rPr>
            </w:pPr>
            <w:r>
              <w:rPr>
                <w:rFonts w:hint="eastAsia" w:ascii="仿宋" w:hAnsi="仿宋" w:eastAsia="仿宋" w:cs="仿宋"/>
                <w:b/>
                <w:bCs/>
                <w:sz w:val="24"/>
              </w:rPr>
              <w:t>（2分）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成立绩效自评工作小组的得2分，否则不得分。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4" w:hRule="atLeast"/>
          <w:jc w:val="center"/>
        </w:trPr>
        <w:tc>
          <w:tcPr>
            <w:tcW w:w="774" w:type="dxa"/>
            <w:vMerge w:val="restart"/>
            <w:tcBorders>
              <w:tl2br w:val="nil"/>
              <w:tr2bl w:val="nil"/>
            </w:tcBorders>
            <w:vAlign w:val="center"/>
          </w:tcPr>
          <w:p>
            <w:pPr>
              <w:spacing w:line="320" w:lineRule="exact"/>
              <w:jc w:val="center"/>
              <w:rPr>
                <w:rFonts w:ascii="仿宋" w:hAnsi="仿宋" w:eastAsia="仿宋" w:cs="仿宋"/>
                <w:b/>
                <w:bCs/>
                <w:sz w:val="24"/>
              </w:rPr>
            </w:pPr>
            <w:r>
              <w:rPr>
                <w:rFonts w:hint="eastAsia" w:ascii="仿宋" w:hAnsi="仿宋" w:eastAsia="仿宋" w:cs="仿宋"/>
                <w:b/>
                <w:bCs/>
                <w:sz w:val="24"/>
              </w:rPr>
              <w:t>实施评价</w:t>
            </w:r>
          </w:p>
          <w:p>
            <w:pPr>
              <w:spacing w:line="320" w:lineRule="exact"/>
              <w:jc w:val="center"/>
              <w:rPr>
                <w:rFonts w:ascii="仿宋" w:hAnsi="仿宋" w:eastAsia="仿宋" w:cs="仿宋"/>
                <w:b/>
                <w:bCs/>
                <w:sz w:val="24"/>
              </w:rPr>
            </w:pPr>
          </w:p>
          <w:p>
            <w:pPr>
              <w:spacing w:line="320" w:lineRule="exact"/>
              <w:jc w:val="center"/>
              <w:rPr>
                <w:rFonts w:ascii="仿宋" w:hAnsi="仿宋" w:eastAsia="仿宋" w:cs="仿宋"/>
                <w:b/>
                <w:bCs/>
                <w:sz w:val="24"/>
              </w:rPr>
            </w:pPr>
            <w:r>
              <w:rPr>
                <w:rFonts w:hint="eastAsia" w:ascii="仿宋" w:hAnsi="仿宋" w:eastAsia="仿宋" w:cs="仿宋"/>
                <w:b/>
                <w:bCs/>
                <w:sz w:val="24"/>
              </w:rPr>
              <w:t>30分</w:t>
            </w: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单位自查</w:t>
            </w:r>
          </w:p>
          <w:p>
            <w:pPr>
              <w:spacing w:line="240" w:lineRule="exact"/>
              <w:jc w:val="center"/>
              <w:rPr>
                <w:rFonts w:ascii="仿宋" w:hAnsi="仿宋" w:eastAsia="仿宋" w:cs="仿宋"/>
                <w:b/>
                <w:bCs/>
                <w:sz w:val="24"/>
              </w:rPr>
            </w:pPr>
            <w:r>
              <w:rPr>
                <w:rFonts w:hint="eastAsia" w:ascii="仿宋" w:hAnsi="仿宋" w:eastAsia="仿宋" w:cs="仿宋"/>
                <w:b/>
                <w:bCs/>
                <w:sz w:val="24"/>
              </w:rPr>
              <w:t>（20分）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省级预算部门本级和所属单位都要开展绩效自查，转移支付项目单位都要开展绩效自查，市、县级主管部门都要汇总本区域转移支付情况；以上各项每发现一个单位没有做相应工作的，扣1分，最多扣20分。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74" w:type="dxa"/>
            <w:vMerge w:val="continue"/>
            <w:tcBorders>
              <w:tl2br w:val="nil"/>
              <w:tr2bl w:val="nil"/>
            </w:tcBorders>
            <w:vAlign w:val="center"/>
          </w:tcPr>
          <w:p>
            <w:pPr>
              <w:spacing w:line="240" w:lineRule="exact"/>
              <w:rPr>
                <w:rFonts w:ascii="仿宋" w:hAnsi="仿宋" w:eastAsia="仿宋" w:cs="仿宋"/>
                <w:b/>
                <w:bCs/>
                <w:sz w:val="24"/>
              </w:rPr>
            </w:pP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提交报告</w:t>
            </w:r>
          </w:p>
          <w:p>
            <w:pPr>
              <w:spacing w:line="240" w:lineRule="exact"/>
              <w:jc w:val="center"/>
              <w:rPr>
                <w:rFonts w:ascii="仿宋" w:hAnsi="仿宋" w:eastAsia="仿宋" w:cs="仿宋"/>
                <w:b/>
                <w:bCs/>
                <w:sz w:val="24"/>
              </w:rPr>
            </w:pPr>
            <w:r>
              <w:rPr>
                <w:rFonts w:hint="eastAsia" w:ascii="仿宋" w:hAnsi="仿宋" w:eastAsia="仿宋" w:cs="仿宋"/>
                <w:b/>
                <w:bCs/>
                <w:sz w:val="24"/>
              </w:rPr>
              <w:t>（10分）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按时向省财政厅报送报告的得10分；每推迟一天报送报告的扣1分，最多扣10分。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774" w:type="dxa"/>
            <w:vMerge w:val="restart"/>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自评报告</w:t>
            </w:r>
          </w:p>
          <w:p>
            <w:pPr>
              <w:spacing w:line="240" w:lineRule="exact"/>
              <w:jc w:val="center"/>
              <w:rPr>
                <w:rFonts w:ascii="仿宋" w:hAnsi="仿宋" w:eastAsia="仿宋" w:cs="仿宋"/>
                <w:b/>
                <w:bCs/>
                <w:sz w:val="24"/>
              </w:rPr>
            </w:pPr>
          </w:p>
          <w:p>
            <w:pPr>
              <w:spacing w:line="240" w:lineRule="exact"/>
              <w:jc w:val="center"/>
              <w:rPr>
                <w:rFonts w:ascii="仿宋" w:hAnsi="仿宋" w:eastAsia="仿宋" w:cs="仿宋"/>
                <w:b/>
                <w:bCs/>
                <w:sz w:val="24"/>
              </w:rPr>
            </w:pPr>
            <w:r>
              <w:rPr>
                <w:rFonts w:hint="eastAsia" w:ascii="仿宋" w:hAnsi="仿宋" w:eastAsia="仿宋" w:cs="仿宋"/>
                <w:b/>
                <w:bCs/>
                <w:sz w:val="24"/>
              </w:rPr>
              <w:t>60分</w:t>
            </w: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自评报告</w:t>
            </w:r>
          </w:p>
          <w:p>
            <w:pPr>
              <w:spacing w:line="240" w:lineRule="exact"/>
              <w:jc w:val="center"/>
              <w:rPr>
                <w:rFonts w:ascii="仿宋" w:hAnsi="仿宋" w:eastAsia="仿宋" w:cs="仿宋"/>
                <w:b/>
                <w:bCs/>
                <w:sz w:val="24"/>
              </w:rPr>
            </w:pPr>
            <w:r>
              <w:rPr>
                <w:rFonts w:hint="eastAsia" w:ascii="仿宋" w:hAnsi="仿宋" w:eastAsia="仿宋" w:cs="仿宋"/>
                <w:b/>
                <w:bCs/>
                <w:sz w:val="24"/>
              </w:rPr>
              <w:t>的完整性</w:t>
            </w:r>
          </w:p>
          <w:p>
            <w:pPr>
              <w:spacing w:line="240" w:lineRule="exact"/>
              <w:jc w:val="center"/>
              <w:rPr>
                <w:rFonts w:ascii="仿宋" w:hAnsi="仿宋" w:eastAsia="仿宋" w:cs="仿宋"/>
                <w:b/>
                <w:bCs/>
                <w:sz w:val="24"/>
              </w:rPr>
            </w:pPr>
            <w:r>
              <w:rPr>
                <w:rFonts w:hint="eastAsia" w:ascii="仿宋" w:hAnsi="仿宋" w:eastAsia="仿宋" w:cs="仿宋"/>
                <w:b/>
                <w:bCs/>
                <w:sz w:val="24"/>
              </w:rPr>
              <w:t>（15分）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1、绩效自评报告正文部分内容齐全的，得8分；否则每少一个部分扣2分，最多扣8分。</w:t>
            </w:r>
          </w:p>
          <w:p>
            <w:pPr>
              <w:spacing w:line="240" w:lineRule="exact"/>
              <w:ind w:firstLine="240" w:firstLineChars="100"/>
              <w:rPr>
                <w:rFonts w:ascii="仿宋" w:hAnsi="仿宋" w:eastAsia="仿宋" w:cs="仿宋"/>
                <w:sz w:val="24"/>
              </w:rPr>
            </w:pPr>
            <w:r>
              <w:rPr>
                <w:rFonts w:hint="eastAsia" w:ascii="仿宋" w:hAnsi="仿宋" w:eastAsia="仿宋" w:cs="仿宋"/>
                <w:sz w:val="24"/>
              </w:rPr>
              <w:t>2、绩效自评报告附件部分内容齐全的，得7分；否则每少一个部分扣2分，最多扣7分。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14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08" w:hRule="atLeast"/>
          <w:jc w:val="center"/>
        </w:trPr>
        <w:tc>
          <w:tcPr>
            <w:tcW w:w="774" w:type="dxa"/>
            <w:vMerge w:val="continue"/>
            <w:tcBorders>
              <w:tl2br w:val="nil"/>
              <w:tr2bl w:val="nil"/>
            </w:tcBorders>
            <w:vAlign w:val="center"/>
          </w:tcPr>
          <w:p>
            <w:pPr>
              <w:spacing w:line="240" w:lineRule="exact"/>
              <w:rPr>
                <w:rFonts w:ascii="仿宋" w:hAnsi="仿宋" w:eastAsia="仿宋" w:cs="仿宋"/>
                <w:b/>
                <w:bCs/>
                <w:sz w:val="24"/>
              </w:rPr>
            </w:pP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绩效自评表</w:t>
            </w:r>
          </w:p>
          <w:p>
            <w:pPr>
              <w:spacing w:line="240" w:lineRule="exact"/>
              <w:jc w:val="center"/>
              <w:rPr>
                <w:rFonts w:ascii="仿宋" w:hAnsi="仿宋" w:eastAsia="仿宋" w:cs="仿宋"/>
                <w:b/>
                <w:bCs/>
                <w:sz w:val="24"/>
              </w:rPr>
            </w:pPr>
            <w:r>
              <w:rPr>
                <w:rFonts w:hint="eastAsia" w:ascii="仿宋" w:hAnsi="仿宋" w:eastAsia="仿宋" w:cs="仿宋"/>
                <w:b/>
                <w:bCs/>
                <w:sz w:val="24"/>
              </w:rPr>
              <w:t>（15分）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1、部门整体支出和项目支出绩效指标反映产出、效益、服务对象满意度方面的指标和预算执行率的权重符合本规程的，得2分，否则按比例扣除相应的分数。</w:t>
            </w:r>
          </w:p>
          <w:p>
            <w:pPr>
              <w:spacing w:line="240" w:lineRule="exact"/>
              <w:ind w:firstLine="240" w:firstLineChars="100"/>
              <w:rPr>
                <w:rFonts w:ascii="仿宋" w:hAnsi="仿宋" w:eastAsia="仿宋" w:cs="仿宋"/>
                <w:sz w:val="24"/>
              </w:rPr>
            </w:pPr>
            <w:r>
              <w:rPr>
                <w:rFonts w:hint="eastAsia" w:ascii="仿宋" w:hAnsi="仿宋" w:eastAsia="仿宋" w:cs="仿宋"/>
                <w:sz w:val="24"/>
              </w:rPr>
              <w:t>2、部门整体支出和项目支出绩效指标全部细化到三级指标的，得3分；部分细化的，酌情扣分；没有细化的，不得分。</w:t>
            </w:r>
          </w:p>
          <w:p>
            <w:pPr>
              <w:spacing w:line="240" w:lineRule="exact"/>
              <w:ind w:firstLine="240" w:firstLineChars="100"/>
              <w:rPr>
                <w:rFonts w:ascii="仿宋" w:hAnsi="仿宋" w:eastAsia="仿宋" w:cs="仿宋"/>
                <w:sz w:val="24"/>
              </w:rPr>
            </w:pPr>
            <w:r>
              <w:rPr>
                <w:rFonts w:hint="eastAsia" w:ascii="仿宋" w:hAnsi="仿宋" w:eastAsia="仿宋" w:cs="仿宋"/>
                <w:sz w:val="24"/>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774" w:type="dxa"/>
            <w:vMerge w:val="continue"/>
            <w:tcBorders>
              <w:tl2br w:val="nil"/>
              <w:tr2bl w:val="nil"/>
            </w:tcBorders>
            <w:vAlign w:val="center"/>
          </w:tcPr>
          <w:p>
            <w:pPr>
              <w:spacing w:line="240" w:lineRule="exact"/>
              <w:jc w:val="center"/>
              <w:rPr>
                <w:rFonts w:ascii="仿宋" w:hAnsi="仿宋" w:eastAsia="仿宋" w:cs="仿宋"/>
                <w:b/>
                <w:bCs/>
                <w:sz w:val="24"/>
              </w:rPr>
            </w:pP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绩效评价</w:t>
            </w:r>
          </w:p>
          <w:p>
            <w:pPr>
              <w:spacing w:line="240" w:lineRule="exact"/>
              <w:jc w:val="center"/>
              <w:rPr>
                <w:rFonts w:ascii="仿宋" w:hAnsi="仿宋" w:eastAsia="仿宋" w:cs="仿宋"/>
                <w:b/>
                <w:bCs/>
                <w:sz w:val="24"/>
              </w:rPr>
            </w:pPr>
            <w:r>
              <w:rPr>
                <w:rFonts w:hint="eastAsia" w:ascii="仿宋" w:hAnsi="仿宋" w:eastAsia="仿宋" w:cs="仿宋"/>
                <w:b/>
                <w:bCs/>
                <w:sz w:val="24"/>
              </w:rPr>
              <w:t>报告反映</w:t>
            </w:r>
          </w:p>
          <w:p>
            <w:pPr>
              <w:spacing w:line="240" w:lineRule="exact"/>
              <w:jc w:val="center"/>
              <w:rPr>
                <w:rFonts w:ascii="仿宋" w:hAnsi="仿宋" w:eastAsia="仿宋" w:cs="仿宋"/>
                <w:b/>
                <w:bCs/>
                <w:sz w:val="24"/>
              </w:rPr>
            </w:pPr>
            <w:r>
              <w:rPr>
                <w:rFonts w:hint="eastAsia" w:ascii="仿宋" w:hAnsi="仿宋" w:eastAsia="仿宋" w:cs="仿宋"/>
                <w:b/>
                <w:bCs/>
                <w:sz w:val="24"/>
              </w:rPr>
              <w:t>问题情况</w:t>
            </w:r>
          </w:p>
          <w:p>
            <w:pPr>
              <w:spacing w:line="240" w:lineRule="exact"/>
              <w:jc w:val="center"/>
              <w:rPr>
                <w:rFonts w:ascii="仿宋" w:hAnsi="仿宋" w:eastAsia="仿宋" w:cs="仿宋"/>
                <w:b/>
                <w:bCs/>
                <w:sz w:val="24"/>
              </w:rPr>
            </w:pPr>
            <w:r>
              <w:rPr>
                <w:rFonts w:hint="eastAsia" w:ascii="仿宋" w:hAnsi="仿宋" w:eastAsia="仿宋" w:cs="仿宋"/>
                <w:b/>
                <w:bCs/>
                <w:sz w:val="24"/>
              </w:rPr>
              <w:t>（15分）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绩效评价发现问题详实全面的得15分，只提出资金不足问题的不得分；其他情况酌情扣分。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774" w:type="dxa"/>
            <w:vMerge w:val="continue"/>
            <w:tcBorders>
              <w:tl2br w:val="nil"/>
              <w:tr2bl w:val="nil"/>
            </w:tcBorders>
            <w:vAlign w:val="center"/>
          </w:tcPr>
          <w:p>
            <w:pPr>
              <w:spacing w:line="240" w:lineRule="exact"/>
              <w:rPr>
                <w:rFonts w:ascii="仿宋" w:hAnsi="仿宋" w:eastAsia="仿宋" w:cs="仿宋"/>
                <w:b/>
                <w:bCs/>
                <w:sz w:val="24"/>
              </w:rPr>
            </w:pP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针对问题</w:t>
            </w:r>
          </w:p>
          <w:p>
            <w:pPr>
              <w:spacing w:line="240" w:lineRule="exact"/>
              <w:jc w:val="center"/>
              <w:rPr>
                <w:rFonts w:ascii="仿宋" w:hAnsi="仿宋" w:eastAsia="仿宋" w:cs="仿宋"/>
                <w:b/>
                <w:bCs/>
                <w:sz w:val="24"/>
              </w:rPr>
            </w:pPr>
            <w:r>
              <w:rPr>
                <w:rFonts w:hint="eastAsia" w:ascii="仿宋" w:hAnsi="仿宋" w:eastAsia="仿宋" w:cs="仿宋"/>
                <w:b/>
                <w:bCs/>
                <w:sz w:val="24"/>
              </w:rPr>
              <w:t>提出可行性建议的情况</w:t>
            </w:r>
          </w:p>
          <w:p>
            <w:pPr>
              <w:spacing w:line="240" w:lineRule="exact"/>
              <w:jc w:val="center"/>
              <w:rPr>
                <w:rFonts w:ascii="仿宋" w:hAnsi="仿宋" w:eastAsia="仿宋" w:cs="仿宋"/>
                <w:b/>
                <w:bCs/>
                <w:sz w:val="24"/>
              </w:rPr>
            </w:pPr>
            <w:r>
              <w:rPr>
                <w:rFonts w:hint="eastAsia" w:ascii="仿宋" w:hAnsi="仿宋" w:eastAsia="仿宋" w:cs="仿宋"/>
                <w:b/>
                <w:bCs/>
                <w:sz w:val="24"/>
              </w:rPr>
              <w:t>（15分）</w:t>
            </w:r>
          </w:p>
        </w:tc>
        <w:tc>
          <w:tcPr>
            <w:tcW w:w="6477" w:type="dxa"/>
            <w:tcBorders>
              <w:tl2br w:val="nil"/>
              <w:tr2bl w:val="nil"/>
            </w:tcBorders>
            <w:vAlign w:val="center"/>
          </w:tcPr>
          <w:p>
            <w:pPr>
              <w:spacing w:line="240" w:lineRule="exact"/>
              <w:ind w:firstLine="240" w:firstLineChars="100"/>
              <w:rPr>
                <w:rFonts w:ascii="仿宋" w:hAnsi="仿宋" w:eastAsia="仿宋" w:cs="仿宋"/>
                <w:sz w:val="24"/>
              </w:rPr>
            </w:pPr>
            <w:r>
              <w:rPr>
                <w:rFonts w:hint="eastAsia" w:ascii="仿宋" w:hAnsi="仿宋" w:eastAsia="仿宋" w:cs="仿宋"/>
                <w:sz w:val="24"/>
              </w:rPr>
              <w:t>针对评价发现问题提出包含有关政策在内的可行性建议的得15分，只提出加大资金投入建议的不得分；其他情况酌情扣分。</w:t>
            </w:r>
          </w:p>
        </w:tc>
        <w:tc>
          <w:tcPr>
            <w:tcW w:w="752" w:type="dxa"/>
            <w:tcBorders>
              <w:tl2br w:val="nil"/>
              <w:tr2bl w:val="nil"/>
            </w:tcBorders>
            <w:vAlign w:val="center"/>
          </w:tcPr>
          <w:p>
            <w:pPr>
              <w:spacing w:line="240" w:lineRule="exact"/>
              <w:jc w:val="center"/>
              <w:rPr>
                <w:rFonts w:ascii="仿宋" w:hAnsi="仿宋" w:eastAsia="仿宋" w:cs="仿宋"/>
                <w:sz w:val="24"/>
              </w:rPr>
            </w:pPr>
            <w:r>
              <w:rPr>
                <w:rFonts w:hint="eastAsia" w:ascii="仿宋" w:hAnsi="仿宋" w:eastAsia="仿宋" w:cs="仿宋"/>
                <w:sz w:val="24"/>
              </w:rPr>
              <w:t>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74"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合计</w:t>
            </w:r>
          </w:p>
        </w:tc>
        <w:tc>
          <w:tcPr>
            <w:tcW w:w="1500" w:type="dxa"/>
            <w:tcBorders>
              <w:tl2br w:val="nil"/>
              <w:tr2bl w:val="nil"/>
            </w:tcBorders>
            <w:vAlign w:val="center"/>
          </w:tcPr>
          <w:p>
            <w:pPr>
              <w:spacing w:line="240" w:lineRule="exact"/>
              <w:jc w:val="center"/>
              <w:rPr>
                <w:rFonts w:ascii="仿宋" w:hAnsi="仿宋" w:eastAsia="仿宋" w:cs="仿宋"/>
                <w:b/>
                <w:bCs/>
                <w:sz w:val="24"/>
              </w:rPr>
            </w:pPr>
            <w:r>
              <w:rPr>
                <w:rFonts w:hint="eastAsia" w:ascii="仿宋" w:hAnsi="仿宋" w:eastAsia="仿宋" w:cs="仿宋"/>
                <w:b/>
                <w:bCs/>
                <w:sz w:val="24"/>
              </w:rPr>
              <w:t>100分</w:t>
            </w:r>
          </w:p>
        </w:tc>
        <w:tc>
          <w:tcPr>
            <w:tcW w:w="6477" w:type="dxa"/>
            <w:tcBorders>
              <w:tl2br w:val="nil"/>
              <w:tr2bl w:val="nil"/>
            </w:tcBorders>
            <w:vAlign w:val="center"/>
          </w:tcPr>
          <w:p>
            <w:pPr>
              <w:spacing w:line="240" w:lineRule="exact"/>
              <w:rPr>
                <w:rFonts w:ascii="仿宋" w:hAnsi="仿宋" w:eastAsia="仿宋" w:cs="仿宋"/>
                <w:sz w:val="24"/>
              </w:rPr>
            </w:pPr>
          </w:p>
        </w:tc>
        <w:tc>
          <w:tcPr>
            <w:tcW w:w="752" w:type="dxa"/>
            <w:tcBorders>
              <w:tl2br w:val="nil"/>
              <w:tr2bl w:val="nil"/>
            </w:tcBorders>
            <w:vAlign w:val="center"/>
          </w:tcPr>
          <w:p>
            <w:pPr>
              <w:spacing w:line="240" w:lineRule="exact"/>
              <w:rPr>
                <w:rFonts w:ascii="仿宋" w:hAnsi="仿宋" w:eastAsia="仿宋" w:cs="仿宋"/>
                <w:sz w:val="24"/>
              </w:rPr>
            </w:pPr>
            <w:r>
              <w:rPr>
                <w:rFonts w:hint="eastAsia" w:ascii="仿宋" w:hAnsi="仿宋" w:eastAsia="仿宋" w:cs="仿宋"/>
                <w:sz w:val="24"/>
              </w:rPr>
              <w:t>　96</w:t>
            </w:r>
          </w:p>
        </w:tc>
      </w:tr>
    </w:tbl>
    <w:p>
      <w:pPr>
        <w:rPr>
          <w:sz w:val="36"/>
          <w:szCs w:val="36"/>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861769"/>
    <w:multiLevelType w:val="singleLevel"/>
    <w:tmpl w:val="60861769"/>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DE7"/>
    <w:rsid w:val="00247B94"/>
    <w:rsid w:val="00252168"/>
    <w:rsid w:val="002576CF"/>
    <w:rsid w:val="002C5129"/>
    <w:rsid w:val="002D681D"/>
    <w:rsid w:val="00460118"/>
    <w:rsid w:val="004A50E8"/>
    <w:rsid w:val="004A7EE2"/>
    <w:rsid w:val="005766BF"/>
    <w:rsid w:val="00592CF3"/>
    <w:rsid w:val="005B5C9B"/>
    <w:rsid w:val="006C0C4D"/>
    <w:rsid w:val="007776CA"/>
    <w:rsid w:val="007813F8"/>
    <w:rsid w:val="00920553"/>
    <w:rsid w:val="009B08FD"/>
    <w:rsid w:val="00B06F6C"/>
    <w:rsid w:val="00B136A2"/>
    <w:rsid w:val="00C20DE7"/>
    <w:rsid w:val="00D47C61"/>
    <w:rsid w:val="00DB49BE"/>
    <w:rsid w:val="00E7268E"/>
    <w:rsid w:val="00EA2BEA"/>
    <w:rsid w:val="00EB4F9B"/>
    <w:rsid w:val="00F74754"/>
    <w:rsid w:val="02A03431"/>
    <w:rsid w:val="0E7D4BC9"/>
    <w:rsid w:val="0F8521D1"/>
    <w:rsid w:val="12DB5FCD"/>
    <w:rsid w:val="14C51834"/>
    <w:rsid w:val="200F64F7"/>
    <w:rsid w:val="2B075E49"/>
    <w:rsid w:val="2DEFFD62"/>
    <w:rsid w:val="2F2F4E3B"/>
    <w:rsid w:val="3C811B2F"/>
    <w:rsid w:val="3DFF271C"/>
    <w:rsid w:val="3F2D1A1D"/>
    <w:rsid w:val="45460291"/>
    <w:rsid w:val="4FDF94B9"/>
    <w:rsid w:val="50991FD6"/>
    <w:rsid w:val="567E3AF4"/>
    <w:rsid w:val="5FFF0F19"/>
    <w:rsid w:val="640C763F"/>
    <w:rsid w:val="66E214AC"/>
    <w:rsid w:val="6749541D"/>
    <w:rsid w:val="6DA125BF"/>
    <w:rsid w:val="6F7F9F3E"/>
    <w:rsid w:val="77BB432B"/>
    <w:rsid w:val="77EADA03"/>
    <w:rsid w:val="7BE77394"/>
    <w:rsid w:val="7C3B76D5"/>
    <w:rsid w:val="7DBDF4B0"/>
    <w:rsid w:val="7FCB479B"/>
    <w:rsid w:val="7FF6456D"/>
    <w:rsid w:val="7FFA5E50"/>
    <w:rsid w:val="B7FDB82E"/>
    <w:rsid w:val="BF7DF294"/>
    <w:rsid w:val="D72C0EB2"/>
    <w:rsid w:val="DFFF09D8"/>
    <w:rsid w:val="EFF9BE58"/>
    <w:rsid w:val="FBDFDE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qFormat/>
    <w:uiPriority w:val="0"/>
    <w:pPr>
      <w:tabs>
        <w:tab w:val="center" w:pos="4153"/>
        <w:tab w:val="right" w:pos="8306"/>
      </w:tabs>
      <w:snapToGrid w:val="0"/>
      <w:jc w:val="left"/>
    </w:pPr>
    <w:rPr>
      <w:sz w:val="18"/>
      <w:szCs w:val="18"/>
    </w:rPr>
  </w:style>
  <w:style w:type="paragraph" w:styleId="3">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paragraph" w:customStyle="1" w:styleId="7">
    <w:name w:val="_Style 8"/>
    <w:basedOn w:val="1"/>
    <w:next w:val="8"/>
    <w:qFormat/>
    <w:uiPriority w:val="99"/>
    <w:pPr>
      <w:ind w:firstLine="420" w:firstLineChars="200"/>
    </w:pPr>
    <w:rPr>
      <w:rFonts w:ascii="Calibri" w:hAnsi="Calibri" w:eastAsia="宋体"/>
    </w:rPr>
  </w:style>
  <w:style w:type="paragraph" w:customStyle="1" w:styleId="8">
    <w:name w:val="列出段落1"/>
    <w:basedOn w:val="1"/>
    <w:qFormat/>
    <w:uiPriority w:val="34"/>
    <w:pPr>
      <w:ind w:firstLine="420" w:firstLineChars="200"/>
    </w:pPr>
  </w:style>
  <w:style w:type="paragraph" w:customStyle="1" w:styleId="9">
    <w:name w:val="列出段落2"/>
    <w:basedOn w:val="1"/>
    <w:qFormat/>
    <w:uiPriority w:val="99"/>
    <w:pPr>
      <w:ind w:firstLine="420" w:firstLineChars="200"/>
    </w:pPr>
    <w:rPr>
      <w:rFonts w:ascii="Calibri" w:hAnsi="Calibri" w:eastAsia="宋体" w:cs="Times New Roman"/>
      <w:szCs w:val="22"/>
    </w:rPr>
  </w:style>
  <w:style w:type="character" w:customStyle="1" w:styleId="10">
    <w:name w:val="页眉 Char"/>
    <w:basedOn w:val="6"/>
    <w:link w:val="3"/>
    <w:qFormat/>
    <w:uiPriority w:val="0"/>
    <w:rPr>
      <w:rFonts w:asciiTheme="minorHAnsi" w:hAnsiTheme="minorHAnsi" w:eastAsiaTheme="minorEastAsia" w:cstheme="minorBidi"/>
      <w:kern w:val="2"/>
      <w:sz w:val="18"/>
      <w:szCs w:val="18"/>
    </w:rPr>
  </w:style>
  <w:style w:type="character" w:customStyle="1" w:styleId="11">
    <w:name w:val="页脚 Char"/>
    <w:basedOn w:val="6"/>
    <w:link w:val="2"/>
    <w:qFormat/>
    <w:uiPriority w:val="0"/>
    <w:rPr>
      <w:rFonts w:asciiTheme="minorHAnsi" w:hAnsiTheme="minorHAnsi" w:eastAsiaTheme="minorEastAsia" w:cstheme="minorBidi"/>
      <w:kern w:val="2"/>
      <w:sz w:val="18"/>
      <w:szCs w:val="18"/>
    </w:rPr>
  </w:style>
  <w:style w:type="paragraph" w:customStyle="1" w:styleId="12">
    <w:name w:val="列出段落3"/>
    <w:basedOn w:val="1"/>
    <w:qFormat/>
    <w:uiPriority w:val="99"/>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35</Pages>
  <Words>2183</Words>
  <Characters>12444</Characters>
  <Lines>103</Lines>
  <Paragraphs>29</Paragraphs>
  <TotalTime>1</TotalTime>
  <ScaleCrop>false</ScaleCrop>
  <LinksUpToDate>false</LinksUpToDate>
  <CharactersWithSpaces>14598</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2022-09-15T16:49:00Z</dcterms:created>
  <dc:creator>lyt</dc:creator>
  <cp:lastModifiedBy>唐星</cp:lastModifiedBy>
  <cp:lastPrinted>2021-11-14T05:33:00Z</cp:lastPrinted>
  <dcterms:modified xsi:type="dcterms:W3CDTF">2023-09-26T11:34:44Z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F293DB008F9B4DFA9B5949BC49E39A2D</vt:lpwstr>
  </property>
</Properties>
</file>