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2020年度</w:t>
      </w:r>
    </w:p>
    <w:p>
      <w:pPr>
        <w:jc w:val="center"/>
        <w:rPr>
          <w:sz w:val="52"/>
          <w:szCs w:val="52"/>
        </w:rPr>
      </w:pPr>
      <w:r>
        <w:rPr>
          <w:rFonts w:hint="eastAsia"/>
          <w:sz w:val="52"/>
          <w:szCs w:val="52"/>
        </w:rPr>
        <w:t>湖南省林木种子储备调剂中心</w:t>
      </w:r>
    </w:p>
    <w:p>
      <w:pPr>
        <w:jc w:val="center"/>
        <w:rPr>
          <w:sz w:val="52"/>
          <w:szCs w:val="52"/>
        </w:rPr>
      </w:pPr>
      <w:r>
        <w:rPr>
          <w:rFonts w:hint="eastAsia"/>
          <w:sz w:val="52"/>
          <w:szCs w:val="52"/>
        </w:rPr>
        <w:t>部门决算</w:t>
      </w:r>
    </w:p>
    <w:p/>
    <w:p/>
    <w:p/>
    <w:p/>
    <w:p/>
    <w:p/>
    <w:p/>
    <w:p/>
    <w:p/>
    <w:p/>
    <w:p/>
    <w:p/>
    <w:p/>
    <w:p/>
    <w:p/>
    <w:p/>
    <w:p/>
    <w:p/>
    <w:p/>
    <w:p/>
    <w:p/>
    <w:p/>
    <w:p/>
    <w:p/>
    <w:p/>
    <w:p/>
    <w:p/>
    <w:p/>
    <w:p/>
    <w:p/>
    <w:p/>
    <w:p/>
    <w:p/>
    <w:p/>
    <w:p/>
    <w:p/>
    <w:p/>
    <w:p>
      <w:pPr>
        <w:jc w:val="center"/>
        <w:rPr>
          <w:sz w:val="32"/>
          <w:szCs w:val="32"/>
        </w:rPr>
      </w:pPr>
      <w:r>
        <w:rPr>
          <w:rFonts w:hint="eastAsia"/>
          <w:sz w:val="32"/>
          <w:szCs w:val="32"/>
        </w:rPr>
        <w:t>目录</w:t>
      </w:r>
    </w:p>
    <w:p>
      <w:pPr>
        <w:rPr>
          <w:sz w:val="32"/>
          <w:szCs w:val="32"/>
        </w:rPr>
      </w:pPr>
    </w:p>
    <w:p>
      <w:pPr>
        <w:rPr>
          <w:sz w:val="32"/>
          <w:szCs w:val="32"/>
        </w:rPr>
      </w:pPr>
      <w:r>
        <w:rPr>
          <w:rFonts w:hint="eastAsia"/>
          <w:sz w:val="32"/>
          <w:szCs w:val="32"/>
        </w:rPr>
        <w:t>第一部分</w:t>
      </w:r>
      <w:r>
        <w:rPr>
          <w:rFonts w:hint="eastAsia"/>
          <w:sz w:val="32"/>
          <w:szCs w:val="32"/>
          <w:lang w:val="en-US" w:eastAsia="zh-CN"/>
        </w:rPr>
        <w:t xml:space="preserve"> </w:t>
      </w:r>
      <w:r>
        <w:rPr>
          <w:rFonts w:hint="eastAsia"/>
          <w:sz w:val="32"/>
          <w:szCs w:val="32"/>
        </w:rPr>
        <w:t>湖南省林木种子储备调剂中心概况</w:t>
      </w:r>
    </w:p>
    <w:p>
      <w:pPr>
        <w:rPr>
          <w:sz w:val="32"/>
          <w:szCs w:val="32"/>
        </w:rPr>
      </w:pPr>
      <w:r>
        <w:rPr>
          <w:rFonts w:hint="eastAsia"/>
          <w:sz w:val="32"/>
          <w:szCs w:val="32"/>
        </w:rPr>
        <w:t>一、部门职责</w:t>
      </w:r>
    </w:p>
    <w:p>
      <w:pPr>
        <w:rPr>
          <w:sz w:val="32"/>
          <w:szCs w:val="32"/>
        </w:rPr>
      </w:pPr>
      <w:r>
        <w:rPr>
          <w:rFonts w:hint="eastAsia"/>
          <w:sz w:val="32"/>
          <w:szCs w:val="32"/>
        </w:rPr>
        <w:t>二、机构设置</w:t>
      </w:r>
    </w:p>
    <w:p>
      <w:pPr>
        <w:rPr>
          <w:sz w:val="32"/>
          <w:szCs w:val="32"/>
        </w:rPr>
      </w:pPr>
      <w:r>
        <w:rPr>
          <w:rFonts w:hint="eastAsia"/>
          <w:sz w:val="32"/>
          <w:szCs w:val="32"/>
        </w:rPr>
        <w:t>第二部分</w:t>
      </w:r>
      <w:r>
        <w:rPr>
          <w:rFonts w:hint="eastAsia"/>
          <w:sz w:val="32"/>
          <w:szCs w:val="32"/>
          <w:lang w:val="en-US" w:eastAsia="zh-CN"/>
        </w:rPr>
        <w:t xml:space="preserve"> </w:t>
      </w:r>
      <w:r>
        <w:rPr>
          <w:rFonts w:hint="eastAsia"/>
          <w:sz w:val="32"/>
          <w:szCs w:val="32"/>
        </w:rPr>
        <w:t>2020年度部门决算表</w:t>
      </w:r>
    </w:p>
    <w:p>
      <w:pPr>
        <w:rPr>
          <w:sz w:val="32"/>
          <w:szCs w:val="32"/>
        </w:rPr>
      </w:pPr>
      <w:r>
        <w:rPr>
          <w:rFonts w:hint="eastAsia"/>
          <w:sz w:val="32"/>
          <w:szCs w:val="32"/>
        </w:rPr>
        <w:t>一、收入支出决算总表</w:t>
      </w:r>
    </w:p>
    <w:p>
      <w:pPr>
        <w:rPr>
          <w:sz w:val="32"/>
          <w:szCs w:val="32"/>
        </w:rPr>
      </w:pPr>
      <w:r>
        <w:rPr>
          <w:rFonts w:hint="eastAsia"/>
          <w:sz w:val="32"/>
          <w:szCs w:val="32"/>
        </w:rPr>
        <w:t>二、收入决算表</w:t>
      </w:r>
    </w:p>
    <w:p>
      <w:pPr>
        <w:rPr>
          <w:sz w:val="32"/>
          <w:szCs w:val="32"/>
        </w:rPr>
      </w:pPr>
      <w:r>
        <w:rPr>
          <w:rFonts w:hint="eastAsia"/>
          <w:sz w:val="32"/>
          <w:szCs w:val="32"/>
        </w:rPr>
        <w:t>三、支出决算表</w:t>
      </w:r>
    </w:p>
    <w:p>
      <w:pPr>
        <w:rPr>
          <w:sz w:val="32"/>
          <w:szCs w:val="32"/>
        </w:rPr>
      </w:pPr>
      <w:r>
        <w:rPr>
          <w:rFonts w:hint="eastAsia"/>
          <w:sz w:val="32"/>
          <w:szCs w:val="32"/>
        </w:rPr>
        <w:t>四、财政拨款收入支出决算总表</w:t>
      </w:r>
    </w:p>
    <w:p>
      <w:pPr>
        <w:rPr>
          <w:sz w:val="32"/>
          <w:szCs w:val="32"/>
        </w:rPr>
      </w:pPr>
      <w:r>
        <w:rPr>
          <w:rFonts w:hint="eastAsia"/>
          <w:sz w:val="32"/>
          <w:szCs w:val="32"/>
        </w:rPr>
        <w:t>五、一般公共预算财政拨款支出决算表</w:t>
      </w:r>
    </w:p>
    <w:p>
      <w:pPr>
        <w:rPr>
          <w:sz w:val="32"/>
          <w:szCs w:val="32"/>
        </w:rPr>
      </w:pPr>
      <w:r>
        <w:rPr>
          <w:rFonts w:hint="eastAsia"/>
          <w:sz w:val="32"/>
          <w:szCs w:val="32"/>
        </w:rPr>
        <w:t>六、一般公共预算财政拨款基本支出决算表</w:t>
      </w:r>
    </w:p>
    <w:p>
      <w:pPr>
        <w:rPr>
          <w:sz w:val="32"/>
          <w:szCs w:val="32"/>
        </w:rPr>
      </w:pPr>
      <w:r>
        <w:rPr>
          <w:rFonts w:hint="eastAsia"/>
          <w:sz w:val="32"/>
          <w:szCs w:val="32"/>
        </w:rPr>
        <w:t>七、一般公共预算财政拨款“三公”经费支岀决算表</w:t>
      </w:r>
    </w:p>
    <w:p>
      <w:pPr>
        <w:rPr>
          <w:sz w:val="32"/>
          <w:szCs w:val="32"/>
        </w:rPr>
      </w:pPr>
      <w:r>
        <w:rPr>
          <w:rFonts w:hint="eastAsia"/>
          <w:sz w:val="32"/>
          <w:szCs w:val="32"/>
        </w:rPr>
        <w:t>八、政府性基金预算财政拨款收入支出决算表</w:t>
      </w:r>
    </w:p>
    <w:p>
      <w:pPr>
        <w:rPr>
          <w:sz w:val="32"/>
          <w:szCs w:val="32"/>
        </w:rPr>
      </w:pPr>
      <w:r>
        <w:rPr>
          <w:rFonts w:hint="eastAsia"/>
          <w:sz w:val="32"/>
          <w:szCs w:val="32"/>
        </w:rPr>
        <w:t>九、国有资本经营预算财政拨款支出决算表</w:t>
      </w:r>
    </w:p>
    <w:p>
      <w:pPr>
        <w:rPr>
          <w:sz w:val="32"/>
          <w:szCs w:val="32"/>
        </w:rPr>
      </w:pPr>
      <w:r>
        <w:rPr>
          <w:rFonts w:hint="eastAsia"/>
          <w:sz w:val="32"/>
          <w:szCs w:val="32"/>
        </w:rPr>
        <w:t>第三部分</w:t>
      </w:r>
      <w:r>
        <w:rPr>
          <w:rFonts w:hint="eastAsia"/>
          <w:sz w:val="32"/>
          <w:szCs w:val="32"/>
          <w:lang w:val="en-US" w:eastAsia="zh-CN"/>
        </w:rPr>
        <w:t xml:space="preserve"> </w:t>
      </w:r>
      <w:r>
        <w:rPr>
          <w:rFonts w:hint="eastAsia"/>
          <w:sz w:val="32"/>
          <w:szCs w:val="32"/>
        </w:rPr>
        <w:t>2020年度部门决算情况说明</w:t>
      </w:r>
    </w:p>
    <w:p>
      <w:pPr>
        <w:rPr>
          <w:sz w:val="32"/>
          <w:szCs w:val="32"/>
        </w:rPr>
      </w:pPr>
      <w:r>
        <w:rPr>
          <w:rFonts w:hint="eastAsia"/>
          <w:sz w:val="32"/>
          <w:szCs w:val="32"/>
        </w:rPr>
        <w:t>一、收入支出决算总体情况说明</w:t>
      </w:r>
    </w:p>
    <w:p>
      <w:pPr>
        <w:rPr>
          <w:sz w:val="32"/>
          <w:szCs w:val="32"/>
        </w:rPr>
      </w:pPr>
      <w:r>
        <w:rPr>
          <w:rFonts w:hint="eastAsia"/>
          <w:sz w:val="32"/>
          <w:szCs w:val="32"/>
        </w:rPr>
        <w:t>二、收入决算情况说明</w:t>
      </w:r>
    </w:p>
    <w:p>
      <w:pPr>
        <w:rPr>
          <w:sz w:val="32"/>
          <w:szCs w:val="32"/>
        </w:rPr>
      </w:pPr>
      <w:r>
        <w:rPr>
          <w:rFonts w:hint="eastAsia"/>
          <w:sz w:val="32"/>
          <w:szCs w:val="32"/>
        </w:rPr>
        <w:t>三、支出决算情况说明</w:t>
      </w:r>
    </w:p>
    <w:p>
      <w:pPr>
        <w:rPr>
          <w:sz w:val="32"/>
          <w:szCs w:val="32"/>
        </w:rPr>
      </w:pPr>
      <w:r>
        <w:rPr>
          <w:rFonts w:hint="eastAsia"/>
          <w:sz w:val="32"/>
          <w:szCs w:val="32"/>
        </w:rPr>
        <w:t>四、财政拨款收入支出决算总体情况说明</w:t>
      </w:r>
    </w:p>
    <w:p>
      <w:pPr>
        <w:rPr>
          <w:sz w:val="32"/>
          <w:szCs w:val="32"/>
        </w:rPr>
      </w:pPr>
      <w:r>
        <w:rPr>
          <w:rFonts w:hint="eastAsia"/>
          <w:sz w:val="32"/>
          <w:szCs w:val="32"/>
        </w:rPr>
        <w:t>五、一般公共预算财政拨款支出决算情况说明</w:t>
      </w:r>
    </w:p>
    <w:p>
      <w:pPr>
        <w:rPr>
          <w:sz w:val="32"/>
          <w:szCs w:val="32"/>
        </w:rPr>
      </w:pPr>
      <w:r>
        <w:rPr>
          <w:rFonts w:hint="eastAsia"/>
          <w:sz w:val="32"/>
          <w:szCs w:val="32"/>
        </w:rPr>
        <w:t>六、一般公共预算财政拨款基本支出决算情况说明</w:t>
      </w:r>
    </w:p>
    <w:p>
      <w:pPr>
        <w:rPr>
          <w:sz w:val="32"/>
          <w:szCs w:val="32"/>
        </w:rPr>
      </w:pPr>
      <w:r>
        <w:rPr>
          <w:rFonts w:hint="eastAsia"/>
          <w:sz w:val="32"/>
          <w:szCs w:val="32"/>
        </w:rPr>
        <w:t>七、一般公共预算财政拨款三公经费支出决算情况说明</w:t>
      </w:r>
    </w:p>
    <w:p>
      <w:pPr>
        <w:rPr>
          <w:sz w:val="32"/>
          <w:szCs w:val="32"/>
        </w:rPr>
      </w:pPr>
      <w:r>
        <w:rPr>
          <w:rFonts w:hint="eastAsia"/>
          <w:sz w:val="32"/>
          <w:szCs w:val="32"/>
        </w:rPr>
        <w:t>八、政府性基金预算收入支出决算情况</w:t>
      </w:r>
    </w:p>
    <w:p>
      <w:pPr>
        <w:rPr>
          <w:sz w:val="32"/>
          <w:szCs w:val="32"/>
        </w:rPr>
      </w:pPr>
      <w:r>
        <w:rPr>
          <w:rFonts w:hint="eastAsia"/>
          <w:sz w:val="32"/>
          <w:szCs w:val="32"/>
        </w:rPr>
        <w:t>九、关于机关运行经费支出说明</w:t>
      </w:r>
    </w:p>
    <w:p>
      <w:pPr>
        <w:rPr>
          <w:sz w:val="32"/>
          <w:szCs w:val="32"/>
        </w:rPr>
      </w:pPr>
      <w:r>
        <w:rPr>
          <w:rFonts w:hint="eastAsia"/>
          <w:sz w:val="32"/>
          <w:szCs w:val="32"/>
        </w:rPr>
        <w:t>十、一般性支出情况</w:t>
      </w:r>
    </w:p>
    <w:p>
      <w:pPr>
        <w:rPr>
          <w:sz w:val="32"/>
          <w:szCs w:val="32"/>
        </w:rPr>
      </w:pPr>
      <w:r>
        <w:rPr>
          <w:rFonts w:hint="eastAsia"/>
          <w:sz w:val="32"/>
          <w:szCs w:val="32"/>
        </w:rPr>
        <w:t>十一、关于政府采购支出说明</w:t>
      </w:r>
    </w:p>
    <w:p>
      <w:pPr>
        <w:rPr>
          <w:sz w:val="32"/>
          <w:szCs w:val="32"/>
        </w:rPr>
      </w:pPr>
      <w:r>
        <w:rPr>
          <w:rFonts w:hint="eastAsia"/>
          <w:sz w:val="32"/>
          <w:szCs w:val="32"/>
        </w:rPr>
        <w:t>十二、关于国有资产占用情况说明</w:t>
      </w:r>
    </w:p>
    <w:p>
      <w:pPr>
        <w:rPr>
          <w:sz w:val="32"/>
          <w:szCs w:val="32"/>
        </w:rPr>
      </w:pPr>
      <w:r>
        <w:rPr>
          <w:rFonts w:hint="eastAsia"/>
          <w:sz w:val="32"/>
          <w:szCs w:val="32"/>
        </w:rPr>
        <w:t>十三、关于2020年度预算绩效情况的说明</w:t>
      </w:r>
    </w:p>
    <w:p>
      <w:pPr>
        <w:rPr>
          <w:rFonts w:hint="eastAsia"/>
          <w:sz w:val="32"/>
          <w:szCs w:val="32"/>
        </w:rPr>
      </w:pPr>
      <w:r>
        <w:rPr>
          <w:rFonts w:hint="eastAsia"/>
          <w:sz w:val="32"/>
          <w:szCs w:val="32"/>
        </w:rPr>
        <w:t>第四部分</w:t>
      </w:r>
      <w:r>
        <w:rPr>
          <w:rFonts w:hint="eastAsia"/>
          <w:sz w:val="32"/>
          <w:szCs w:val="32"/>
          <w:lang w:val="en-US" w:eastAsia="zh-CN"/>
        </w:rPr>
        <w:t xml:space="preserve"> </w:t>
      </w:r>
      <w:r>
        <w:rPr>
          <w:rFonts w:hint="eastAsia"/>
          <w:sz w:val="32"/>
          <w:szCs w:val="32"/>
        </w:rPr>
        <w:t>名词解释</w:t>
      </w:r>
    </w:p>
    <w:p>
      <w:pPr>
        <w:rPr>
          <w:rFonts w:hint="default" w:eastAsiaTheme="minorEastAsia"/>
          <w:sz w:val="32"/>
          <w:szCs w:val="32"/>
          <w:lang w:val="en-US" w:eastAsia="zh-CN"/>
        </w:rPr>
      </w:pPr>
      <w:r>
        <w:rPr>
          <w:rFonts w:hint="eastAsia"/>
          <w:sz w:val="32"/>
          <w:szCs w:val="32"/>
          <w:lang w:eastAsia="zh-CN"/>
        </w:rPr>
        <w:t>第五部分</w:t>
      </w:r>
      <w:r>
        <w:rPr>
          <w:rFonts w:hint="eastAsia"/>
          <w:sz w:val="32"/>
          <w:szCs w:val="32"/>
          <w:lang w:val="en-US" w:eastAsia="zh-CN"/>
        </w:rPr>
        <w:t xml:space="preserve"> 附件</w:t>
      </w:r>
    </w:p>
    <w:p/>
    <w:p/>
    <w:p/>
    <w:p/>
    <w:p/>
    <w:p/>
    <w:p/>
    <w:p/>
    <w:p/>
    <w:p/>
    <w:p/>
    <w:p/>
    <w:p/>
    <w:p/>
    <w:p/>
    <w:p/>
    <w:p/>
    <w:p/>
    <w:p/>
    <w:p/>
    <w:p/>
    <w:p/>
    <w:p/>
    <w:p/>
    <w:p/>
    <w:p/>
    <w:p/>
    <w:p/>
    <w:p/>
    <w:p/>
    <w:p/>
    <w:p>
      <w:pPr>
        <w:jc w:val="center"/>
        <w:rPr>
          <w:sz w:val="36"/>
          <w:szCs w:val="36"/>
        </w:rPr>
      </w:pPr>
      <w:r>
        <w:rPr>
          <w:rFonts w:hint="eastAsia"/>
          <w:sz w:val="36"/>
          <w:szCs w:val="36"/>
        </w:rPr>
        <w:t>第一部分湖南省林木种子储备调剂中心概况</w:t>
      </w:r>
    </w:p>
    <w:p/>
    <w:p>
      <w:pPr>
        <w:ind w:firstLine="640" w:firstLineChars="200"/>
        <w:rPr>
          <w:sz w:val="32"/>
          <w:szCs w:val="32"/>
        </w:rPr>
      </w:pPr>
      <w:r>
        <w:rPr>
          <w:rFonts w:hint="eastAsia"/>
          <w:sz w:val="32"/>
          <w:szCs w:val="32"/>
        </w:rPr>
        <w:t>一、部门职责</w:t>
      </w:r>
    </w:p>
    <w:p>
      <w:pPr>
        <w:widowControl/>
        <w:spacing w:line="600" w:lineRule="exact"/>
        <w:ind w:firstLine="627" w:firstLineChars="196"/>
        <w:rPr>
          <w:sz w:val="32"/>
          <w:szCs w:val="32"/>
        </w:rPr>
      </w:pPr>
      <w:r>
        <w:rPr>
          <w:rFonts w:hint="eastAsia"/>
          <w:sz w:val="32"/>
          <w:szCs w:val="32"/>
        </w:rPr>
        <w:t>湖南省林木种子储备调剂中心是的主要职能是林木种子调拨、贮藏、调剂。</w:t>
      </w:r>
    </w:p>
    <w:p>
      <w:pPr>
        <w:ind w:firstLine="640" w:firstLineChars="200"/>
        <w:rPr>
          <w:sz w:val="32"/>
          <w:szCs w:val="32"/>
        </w:rPr>
      </w:pPr>
      <w:r>
        <w:rPr>
          <w:rFonts w:hint="eastAsia"/>
          <w:sz w:val="32"/>
          <w:szCs w:val="32"/>
        </w:rPr>
        <w:t>二、机构设置</w:t>
      </w:r>
    </w:p>
    <w:p>
      <w:pPr>
        <w:widowControl/>
        <w:spacing w:line="600" w:lineRule="exact"/>
        <w:ind w:firstLine="627" w:firstLineChars="196"/>
        <w:rPr>
          <w:sz w:val="32"/>
          <w:szCs w:val="32"/>
        </w:rPr>
      </w:pPr>
      <w:r>
        <w:rPr>
          <w:rFonts w:hint="eastAsia"/>
          <w:sz w:val="32"/>
          <w:szCs w:val="32"/>
        </w:rPr>
        <w:t>湖南省林木种子储备调剂中心</w:t>
      </w:r>
      <w:r>
        <w:rPr>
          <w:rFonts w:hint="eastAsia"/>
          <w:sz w:val="32"/>
          <w:szCs w:val="32"/>
          <w:lang w:eastAsia="zh-CN"/>
        </w:rPr>
        <w:t>无内设机构，</w:t>
      </w:r>
      <w:r>
        <w:rPr>
          <w:rFonts w:hint="eastAsia"/>
          <w:sz w:val="32"/>
          <w:szCs w:val="32"/>
        </w:rPr>
        <w:t>为湖南省林业局所属二级预算单位</w:t>
      </w:r>
      <w:r>
        <w:rPr>
          <w:rFonts w:hint="eastAsia"/>
          <w:sz w:val="32"/>
          <w:szCs w:val="32"/>
          <w:lang w:eastAsia="zh-CN"/>
        </w:rPr>
        <w:t>，只包含单位本级，无下属三级预算单位</w:t>
      </w:r>
      <w:r>
        <w:rPr>
          <w:rFonts w:hint="eastAsia"/>
          <w:sz w:val="32"/>
          <w:szCs w:val="32"/>
        </w:rPr>
        <w:t>。</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6"/>
          <w:szCs w:val="36"/>
        </w:rPr>
      </w:pPr>
      <w:r>
        <w:rPr>
          <w:rFonts w:hint="eastAsia"/>
          <w:sz w:val="36"/>
          <w:szCs w:val="36"/>
        </w:rPr>
        <w:t>第二部分部门决算表</w:t>
      </w:r>
    </w:p>
    <w:p>
      <w:pPr>
        <w:rPr>
          <w:sz w:val="32"/>
          <w:szCs w:val="32"/>
        </w:rPr>
      </w:pPr>
    </w:p>
    <w:p>
      <w:pPr>
        <w:jc w:val="center"/>
        <w:rPr>
          <w:sz w:val="32"/>
          <w:szCs w:val="32"/>
        </w:rPr>
      </w:pPr>
      <w:r>
        <w:rPr>
          <w:rFonts w:hint="eastAsia"/>
          <w:sz w:val="32"/>
          <w:szCs w:val="32"/>
        </w:rPr>
        <w:t>收入支出决算总表</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3029"/>
        <w:gridCol w:w="682"/>
        <w:gridCol w:w="937"/>
        <w:gridCol w:w="2174"/>
        <w:gridCol w:w="520"/>
        <w:gridCol w:w="1377"/>
      </w:tblGrid>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536"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1247"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789" w:type="pct"/>
            <w:tcBorders>
              <w:top w:val="nil"/>
              <w:left w:val="nil"/>
              <w:bottom w:val="nil"/>
              <w:right w:val="nil"/>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部门：湖南省林木种子储备调剂中心</w:t>
            </w:r>
          </w:p>
        </w:tc>
        <w:tc>
          <w:tcPr>
            <w:tcW w:w="391"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536" w:type="pct"/>
            <w:tcBorders>
              <w:top w:val="nil"/>
              <w:left w:val="nil"/>
              <w:bottom w:val="nil"/>
              <w:right w:val="nil"/>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2020年度</w:t>
            </w:r>
          </w:p>
        </w:tc>
        <w:tc>
          <w:tcPr>
            <w:tcW w:w="1247"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789" w:type="pct"/>
            <w:tcBorders>
              <w:top w:val="nil"/>
              <w:left w:val="nil"/>
              <w:bottom w:val="nil"/>
              <w:right w:val="nil"/>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300" w:hRule="atLeast"/>
        </w:trPr>
        <w:tc>
          <w:tcPr>
            <w:tcW w:w="2664"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收入</w:t>
            </w:r>
          </w:p>
        </w:tc>
        <w:tc>
          <w:tcPr>
            <w:tcW w:w="233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支出</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3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78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374.39</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三、国有资本经营预算财政拨款收入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四、上级补助收入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五、事业收入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六、经营收入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七、附属单位上缴收入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八、其他收入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371.26</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十四、资源勘探工业信息等支出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26.00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二十一、国有资本经营预算支出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二十二、灾害防治及应急管理支出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二十三、其他支出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二十四、债务还本支出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二十五、债务付息支出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二十六、抗疫特别国债安排的支出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本年收入合计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406.89</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本年支出合计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432.26</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使用非财政拨款结余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26.44</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结余分配</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1.08</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391" w:type="pct"/>
            <w:tcBorders>
              <w:top w:val="nil"/>
              <w:left w:val="nil"/>
              <w:bottom w:val="single" w:color="000000" w:sz="12"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93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433.34</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137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433.34</w:t>
            </w:r>
          </w:p>
        </w:tc>
      </w:tr>
    </w:tbl>
    <w:p>
      <w:pPr>
        <w:rPr>
          <w:sz w:val="32"/>
          <w:szCs w:val="32"/>
        </w:rPr>
      </w:pPr>
    </w:p>
    <w:p>
      <w:pPr>
        <w:rPr>
          <w:sz w:val="32"/>
          <w:szCs w:val="32"/>
        </w:rPr>
      </w:pPr>
    </w:p>
    <w:p>
      <w:pPr>
        <w:jc w:val="center"/>
        <w:rPr>
          <w:sz w:val="32"/>
          <w:szCs w:val="32"/>
        </w:rPr>
      </w:pPr>
      <w:r>
        <w:rPr>
          <w:rFonts w:hint="eastAsia"/>
          <w:sz w:val="32"/>
          <w:szCs w:val="32"/>
        </w:rPr>
        <w:t>收入决算表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公开02表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部门：湖南省林木种子储备调剂中心               2020年度                                      单位：万元</w:t>
      </w:r>
    </w:p>
    <w:tbl>
      <w:tblPr>
        <w:tblStyle w:val="5"/>
        <w:tblW w:w="4999" w:type="pct"/>
        <w:tblInd w:w="0" w:type="dxa"/>
        <w:shd w:val="clear" w:color="auto" w:fill="FFFFFF" w:themeFill="background1"/>
        <w:tblLayout w:type="fixed"/>
        <w:tblCellMar>
          <w:top w:w="0" w:type="dxa"/>
          <w:left w:w="108" w:type="dxa"/>
          <w:bottom w:w="0" w:type="dxa"/>
          <w:right w:w="108" w:type="dxa"/>
        </w:tblCellMar>
      </w:tblPr>
      <w:tblGrid>
        <w:gridCol w:w="1256"/>
        <w:gridCol w:w="1411"/>
        <w:gridCol w:w="946"/>
        <w:gridCol w:w="946"/>
        <w:gridCol w:w="849"/>
        <w:gridCol w:w="863"/>
        <w:gridCol w:w="869"/>
        <w:gridCol w:w="622"/>
        <w:gridCol w:w="956"/>
      </w:tblGrid>
      <w:tr>
        <w:tblPrEx>
          <w:tblCellMar>
            <w:top w:w="0" w:type="dxa"/>
            <w:left w:w="108" w:type="dxa"/>
            <w:bottom w:w="0" w:type="dxa"/>
            <w:right w:w="108" w:type="dxa"/>
          </w:tblCellMar>
        </w:tblPrEx>
        <w:trPr>
          <w:trHeight w:val="255"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本年收入合计</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财政拨款收入</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上级补助收入</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事业收入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附属单位上缴收入</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其他收入</w:t>
            </w:r>
          </w:p>
        </w:tc>
      </w:tr>
      <w:tr>
        <w:tblPrEx>
          <w:tblCellMar>
            <w:top w:w="0" w:type="dxa"/>
            <w:left w:w="108" w:type="dxa"/>
            <w:bottom w:w="0" w:type="dxa"/>
            <w:right w:w="108" w:type="dxa"/>
          </w:tblCellMar>
        </w:tblPrEx>
        <w:trPr>
          <w:trHeight w:val="312" w:hRule="atLeast"/>
        </w:trPr>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r>
      <w:tr>
        <w:tblPrEx>
          <w:tblCellMar>
            <w:top w:w="0" w:type="dxa"/>
            <w:left w:w="108" w:type="dxa"/>
            <w:bottom w:w="0" w:type="dxa"/>
            <w:right w:w="108" w:type="dxa"/>
          </w:tblCellMar>
        </w:tblPrEx>
        <w:trPr>
          <w:trHeight w:val="255"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406.89</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374.39</w:t>
            </w:r>
          </w:p>
        </w:tc>
        <w:tc>
          <w:tcPr>
            <w:tcW w:w="8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32.50</w:t>
            </w:r>
          </w:p>
        </w:tc>
      </w:tr>
      <w:tr>
        <w:tblPrEx>
          <w:tblCellMar>
            <w:top w:w="0" w:type="dxa"/>
            <w:left w:w="108" w:type="dxa"/>
            <w:bottom w:w="0" w:type="dxa"/>
            <w:right w:w="108" w:type="dxa"/>
          </w:tblCellMar>
        </w:tblPrEx>
        <w:trPr>
          <w:trHeight w:val="25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13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9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8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345.89</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313.39</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32.50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345.89</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313.39</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32.50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2130204</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事业机构</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330.89</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298.39</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32.50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2130205</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森林资源培育</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15.00</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15.00</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221</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住房保障支出</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26.00</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26.00</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26.00</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26.00</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228"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2210201</w:t>
            </w:r>
          </w:p>
        </w:tc>
        <w:tc>
          <w:tcPr>
            <w:tcW w:w="1378" w:type="dxa"/>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 xml:space="preserve">  住房公积金</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26.00</w:t>
            </w:r>
          </w:p>
        </w:tc>
        <w:tc>
          <w:tcPr>
            <w:tcW w:w="927"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26.00</w:t>
            </w:r>
          </w:p>
        </w:tc>
        <w:tc>
          <w:tcPr>
            <w:tcW w:w="831"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0.00</w:t>
            </w:r>
          </w:p>
        </w:tc>
        <w:tc>
          <w:tcPr>
            <w:tcW w:w="84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0.00</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0.00</w:t>
            </w:r>
          </w:p>
        </w:tc>
        <w:tc>
          <w:tcPr>
            <w:tcW w:w="61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0.00</w:t>
            </w:r>
          </w:p>
        </w:tc>
        <w:tc>
          <w:tcPr>
            <w:tcW w:w="926"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rPr>
          <w:sz w:val="32"/>
          <w:szCs w:val="32"/>
        </w:rPr>
      </w:pPr>
    </w:p>
    <w:p>
      <w:pPr>
        <w:rPr>
          <w:sz w:val="32"/>
          <w:szCs w:val="32"/>
        </w:rPr>
      </w:pPr>
    </w:p>
    <w:p>
      <w:pPr>
        <w:rPr>
          <w:sz w:val="32"/>
          <w:szCs w:val="32"/>
        </w:rPr>
      </w:pPr>
    </w:p>
    <w:p>
      <w:pPr>
        <w:jc w:val="center"/>
        <w:rPr>
          <w:sz w:val="32"/>
          <w:szCs w:val="32"/>
        </w:rPr>
      </w:pPr>
      <w:r>
        <w:rPr>
          <w:rFonts w:hint="eastAsia"/>
          <w:sz w:val="32"/>
          <w:szCs w:val="32"/>
        </w:rPr>
        <w:t>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公开03表</w:t>
      </w:r>
    </w:p>
    <w:p>
      <w:pPr>
        <w:widowControl/>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部门：湖南省林木种子储备调剂中心               2020年度                                      单位：万元</w:t>
      </w:r>
    </w:p>
    <w:tbl>
      <w:tblPr>
        <w:tblStyle w:val="5"/>
        <w:tblW w:w="8429" w:type="dxa"/>
        <w:tblInd w:w="93" w:type="dxa"/>
        <w:shd w:val="clear" w:color="auto" w:fill="FFFFFF" w:themeFill="background1"/>
        <w:tblLayout w:type="fixed"/>
        <w:tblCellMar>
          <w:top w:w="0" w:type="dxa"/>
          <w:left w:w="108" w:type="dxa"/>
          <w:bottom w:w="0" w:type="dxa"/>
          <w:right w:w="108" w:type="dxa"/>
        </w:tblCellMar>
      </w:tblPr>
      <w:tblGrid>
        <w:gridCol w:w="1122"/>
        <w:gridCol w:w="1404"/>
        <w:gridCol w:w="983"/>
        <w:gridCol w:w="983"/>
        <w:gridCol w:w="983"/>
        <w:gridCol w:w="983"/>
        <w:gridCol w:w="983"/>
        <w:gridCol w:w="988"/>
      </w:tblGrid>
      <w:tr>
        <w:tblPrEx>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上缴上级支出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对附属单位补助支出</w:t>
            </w:r>
          </w:p>
        </w:tc>
      </w:tr>
      <w:tr>
        <w:tblPrEx>
          <w:tblCellMar>
            <w:top w:w="0" w:type="dxa"/>
            <w:left w:w="108" w:type="dxa"/>
            <w:bottom w:w="0" w:type="dxa"/>
            <w:right w:w="108" w:type="dxa"/>
          </w:tblCellMar>
        </w:tblPrEx>
        <w:trPr>
          <w:trHeight w:val="312"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432.26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417.26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371.26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356.26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371.26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356.26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事业机构</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356.26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356.26</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森林资源培育</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221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住房保障支出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26.00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26.00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26.00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26.00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0.00</w:t>
            </w:r>
          </w:p>
        </w:tc>
      </w:tr>
      <w:tr>
        <w:tblPrEx>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2210201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 xml:space="preserve">  住房公积金</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26.00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26.00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8429" w:type="dxa"/>
            <w:gridSpan w:val="8"/>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财政拨款收入支出决算总表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公开04表</w:t>
      </w:r>
    </w:p>
    <w:p>
      <w:pPr>
        <w:widowControl/>
        <w:textAlignment w:val="center"/>
        <w:rPr>
          <w:sz w:val="32"/>
          <w:szCs w:val="32"/>
        </w:rPr>
      </w:pPr>
      <w:r>
        <w:rPr>
          <w:rFonts w:hint="eastAsia" w:ascii="宋体" w:hAnsi="宋体" w:eastAsia="宋体" w:cs="宋体"/>
          <w:color w:val="000000"/>
          <w:kern w:val="0"/>
          <w:sz w:val="16"/>
          <w:szCs w:val="16"/>
        </w:rPr>
        <w:t>部门：湖南省林木种子储备调剂中心               2020年度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1536"/>
        <w:gridCol w:w="400"/>
        <w:gridCol w:w="968"/>
        <w:gridCol w:w="1535"/>
        <w:gridCol w:w="401"/>
        <w:gridCol w:w="968"/>
        <w:gridCol w:w="968"/>
        <w:gridCol w:w="968"/>
        <w:gridCol w:w="976"/>
      </w:tblGrid>
      <w:tr>
        <w:tblPrEx>
          <w:tblCellMar>
            <w:top w:w="0" w:type="dxa"/>
            <w:left w:w="108" w:type="dxa"/>
            <w:bottom w:w="0" w:type="dxa"/>
            <w:right w:w="108" w:type="dxa"/>
          </w:tblCellMar>
        </w:tblPrEx>
        <w:trPr>
          <w:trHeight w:val="255" w:hRule="atLeast"/>
        </w:trPr>
        <w:tc>
          <w:tcPr>
            <w:tcW w:w="2544"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收     入</w:t>
            </w:r>
          </w:p>
        </w:tc>
        <w:tc>
          <w:tcPr>
            <w:tcW w:w="24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支     出</w:t>
            </w:r>
          </w:p>
        </w:tc>
      </w:tr>
      <w:tr>
        <w:tblPrEx>
          <w:tblCellMar>
            <w:top w:w="0" w:type="dxa"/>
            <w:left w:w="108" w:type="dxa"/>
            <w:bottom w:w="0" w:type="dxa"/>
            <w:right w:w="108" w:type="dxa"/>
          </w:tblCellMar>
        </w:tblPrEx>
        <w:trPr>
          <w:trHeight w:val="312" w:hRule="atLeast"/>
        </w:trPr>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金额</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一般公共预算财政拨款</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政府性基金预算财政拨款</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国有资本经营预算财政拨款</w:t>
            </w:r>
          </w:p>
        </w:tc>
      </w:tr>
      <w:tr>
        <w:tblPrEx>
          <w:tblCellMar>
            <w:top w:w="0" w:type="dxa"/>
            <w:left w:w="108" w:type="dxa"/>
            <w:bottom w:w="0" w:type="dxa"/>
            <w:right w:w="108" w:type="dxa"/>
          </w:tblCellMar>
        </w:tblPrEx>
        <w:trPr>
          <w:trHeight w:val="312" w:hRule="atLeast"/>
        </w:trPr>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eastAsia="宋体" w:cs="宋体"/>
                <w:color w:val="000000"/>
                <w:sz w:val="16"/>
                <w:szCs w:val="16"/>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rPr>
                <w:rFonts w:ascii="宋体" w:hAnsi="宋体" w:eastAsia="宋体" w:cs="宋体"/>
                <w:color w:val="000000"/>
                <w:sz w:val="16"/>
                <w:szCs w:val="16"/>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widowControl/>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55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374.39</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三、国有资本经营财政拨款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312.31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312.31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十四、资源勘探工业信息等支出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二十一、国有资本经营预算支出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二十二、灾害防治及应急管理支出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二十三、其他支出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二十四、债务还本支出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二十五、债务付息支出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二十六、抗疫特别国债安排的支出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本年收入合计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374.39</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本年支出合计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373.31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373.31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国有资本经营预算财政拨款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374.39</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总计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374.39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374.39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bl>
    <w:p>
      <w:pPr>
        <w:rPr>
          <w:sz w:val="16"/>
          <w:szCs w:val="16"/>
        </w:rPr>
      </w:pPr>
      <w:r>
        <w:rPr>
          <w:rFonts w:hint="eastAsia"/>
          <w:sz w:val="16"/>
          <w:szCs w:val="16"/>
        </w:rPr>
        <w:t>注：本表反映部门本年度一般公共预算财政拨款、政府性基金预算财政拨款和国有资本经营预算财政拨款的总收支和年末结转结余情况。</w:t>
      </w: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公开05表</w:t>
      </w:r>
    </w:p>
    <w:p>
      <w:pPr>
        <w:widowControl/>
        <w:textAlignment w:val="center"/>
        <w:rPr>
          <w:sz w:val="32"/>
          <w:szCs w:val="32"/>
        </w:rPr>
      </w:pPr>
      <w:r>
        <w:rPr>
          <w:rFonts w:hint="eastAsia" w:ascii="宋体" w:hAnsi="宋体" w:eastAsia="宋体" w:cs="宋体"/>
          <w:color w:val="000000"/>
          <w:kern w:val="0"/>
          <w:sz w:val="16"/>
          <w:szCs w:val="16"/>
        </w:rPr>
        <w:t>部门：湖南省林木种子储备调剂中心               2020年度                                      单位：万元</w:t>
      </w:r>
    </w:p>
    <w:tbl>
      <w:tblPr>
        <w:tblStyle w:val="5"/>
        <w:tblW w:w="8417" w:type="dxa"/>
        <w:tblInd w:w="93" w:type="dxa"/>
        <w:shd w:val="clear" w:color="auto" w:fill="FFFFFF" w:themeFill="background1"/>
        <w:tblLayout w:type="fixed"/>
        <w:tblCellMar>
          <w:top w:w="0" w:type="dxa"/>
          <w:left w:w="108" w:type="dxa"/>
          <w:bottom w:w="0" w:type="dxa"/>
          <w:right w:w="108" w:type="dxa"/>
        </w:tblCellMar>
      </w:tblPr>
      <w:tblGrid>
        <w:gridCol w:w="1190"/>
        <w:gridCol w:w="3342"/>
        <w:gridCol w:w="1295"/>
        <w:gridCol w:w="1295"/>
        <w:gridCol w:w="1295"/>
      </w:tblGrid>
      <w:tr>
        <w:tblPrEx>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tblCellMar>
            <w:top w:w="0" w:type="dxa"/>
            <w:left w:w="108" w:type="dxa"/>
            <w:bottom w:w="0" w:type="dxa"/>
            <w:right w:w="108" w:type="dxa"/>
          </w:tblCellMar>
        </w:tblPrEx>
        <w:trPr>
          <w:trHeight w:val="312"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33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373.31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358.31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15.00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社会保障和就业支出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20805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行政事业单位养老支出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2080505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农林水支出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312.31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297.31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15.00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21302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林业和草原</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312.31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297.31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15.00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事业机构</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297.31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297.31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2130205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森林资源培育</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15.00</w:t>
            </w: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住房保障支出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b/>
                <w:bCs/>
                <w:color w:val="000000"/>
                <w:kern w:val="0"/>
                <w:sz w:val="16"/>
                <w:szCs w:val="16"/>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22102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住房改革支出</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2210201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 xml:space="preserve">  住房公积金</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hint="eastAsia" w:ascii="宋体" w:hAnsi="宋体" w:eastAsia="宋体" w:cs="宋体"/>
                <w:color w:val="000000"/>
                <w:kern w:val="0"/>
                <w:sz w:val="16"/>
                <w:szCs w:val="16"/>
              </w:rPr>
              <w:t>26.00</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8417" w:type="dxa"/>
            <w:gridSpan w:val="5"/>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一般公共预算财政拨款基本支出决算表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公开06表</w:t>
      </w:r>
    </w:p>
    <w:p>
      <w:pPr>
        <w:widowControl/>
        <w:textAlignment w:val="center"/>
        <w:rPr>
          <w:sz w:val="32"/>
          <w:szCs w:val="32"/>
        </w:rPr>
      </w:pPr>
      <w:r>
        <w:rPr>
          <w:rFonts w:hint="eastAsia" w:ascii="宋体" w:hAnsi="宋体" w:eastAsia="宋体" w:cs="宋体"/>
          <w:color w:val="000000"/>
          <w:kern w:val="0"/>
          <w:sz w:val="16"/>
          <w:szCs w:val="16"/>
        </w:rPr>
        <w:t>部门：湖南省林木种子储备调剂中心               2020年度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681"/>
        <w:gridCol w:w="1495"/>
        <w:gridCol w:w="809"/>
        <w:gridCol w:w="684"/>
        <w:gridCol w:w="1125"/>
        <w:gridCol w:w="770"/>
        <w:gridCol w:w="628"/>
        <w:gridCol w:w="1676"/>
        <w:gridCol w:w="851"/>
      </w:tblGrid>
      <w:tr>
        <w:tblPrEx>
          <w:tblCellMar>
            <w:top w:w="0" w:type="dxa"/>
            <w:left w:w="108" w:type="dxa"/>
            <w:bottom w:w="0" w:type="dxa"/>
            <w:right w:w="108" w:type="dxa"/>
          </w:tblCellMar>
        </w:tblPrEx>
        <w:trPr>
          <w:trHeight w:val="255" w:hRule="atLeast"/>
        </w:trPr>
        <w:tc>
          <w:tcPr>
            <w:tcW w:w="1712" w:type="pct"/>
            <w:gridSpan w:val="3"/>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w:t>
            </w:r>
          </w:p>
        </w:tc>
        <w:tc>
          <w:tcPr>
            <w:tcW w:w="3287" w:type="pct"/>
            <w:gridSpan w:val="6"/>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w:t>
            </w:r>
          </w:p>
        </w:tc>
      </w:tr>
      <w:tr>
        <w:tblPrEx>
          <w:tblCellMar>
            <w:top w:w="0" w:type="dxa"/>
            <w:left w:w="108" w:type="dxa"/>
            <w:bottom w:w="0" w:type="dxa"/>
            <w:right w:w="108" w:type="dxa"/>
          </w:tblCellMar>
        </w:tblPrEx>
        <w:trPr>
          <w:trHeight w:val="312" w:hRule="atLeast"/>
        </w:trPr>
        <w:tc>
          <w:tcPr>
            <w:tcW w:w="391"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856"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63"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645"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4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c>
          <w:tcPr>
            <w:tcW w:w="360"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科目编码</w:t>
            </w:r>
          </w:p>
        </w:tc>
        <w:tc>
          <w:tcPr>
            <w:tcW w:w="959"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486"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312" w:hRule="atLeast"/>
        </w:trPr>
        <w:tc>
          <w:tcPr>
            <w:tcW w:w="391"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6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4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5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279.23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9.53</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基本工资</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85.48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国内债务付息</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津贴补贴</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16.26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印刷费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国外债务付息</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奖金</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42.37</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咨询费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伙食补助费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手续费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房屋建筑物购建</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绩效工资</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54.44</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水费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办公设备购置</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机关事业单位基本养老保险缴费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电费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专用设备购置</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职业年金缴费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邮电费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基础设施建设</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职工基本医疗保险缴费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15.58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取暖费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大型修缮</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公务员医疗补助缴费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物业管理费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信息网络及软件购置更新</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其他社会保障缴费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差旅费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物资储备</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住房公积金</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因公出国（境）费用</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土地补偿</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维修（护）费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安置补助</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其他工资福利支出</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租赁费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地上附着物和青苗补偿</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69.55</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会议费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拆迁补偿</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离休费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15.29</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培训费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退休费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其他交通工具购置</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退职（役）费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专用材料费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文物和陈列品购置</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抚恤金</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被装购置费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无形资产购置</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生活补助</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专用燃料费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其他资本性支出</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救济费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劳务费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医疗费补助</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委托业务费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赠与</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助学金</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工会经费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国家赔偿费用支出</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奖励金</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47.71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福利费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对民间非营利组织和群众性自治组织补贴</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个人农业生产补贴</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公务用车运行维护费</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1.93</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代缴社会保险费</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49"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其他对个人和家庭的补助</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2.12</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税金及附加费用</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49"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56"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08"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其他商品和服务支出</w:t>
            </w:r>
          </w:p>
        </w:tc>
        <w:tc>
          <w:tcPr>
            <w:tcW w:w="773"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49"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24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808"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348.78</w:t>
            </w:r>
          </w:p>
        </w:tc>
        <w:tc>
          <w:tcPr>
            <w:tcW w:w="2800"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849"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9.53</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一般公共预算财政拨款“三公”经费支出决算表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公开07表</w:t>
      </w:r>
    </w:p>
    <w:p>
      <w:pPr>
        <w:widowControl/>
        <w:textAlignment w:val="center"/>
        <w:rPr>
          <w:sz w:val="32"/>
          <w:szCs w:val="32"/>
        </w:rPr>
      </w:pPr>
      <w:r>
        <w:rPr>
          <w:rFonts w:hint="eastAsia" w:ascii="宋体" w:hAnsi="宋体" w:eastAsia="宋体" w:cs="宋体"/>
          <w:color w:val="000000"/>
          <w:kern w:val="0"/>
          <w:sz w:val="16"/>
          <w:szCs w:val="16"/>
        </w:rPr>
        <w:t>部门：湖南省林木种子储备调剂中心               2020年度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725"/>
        <w:gridCol w:w="725"/>
        <w:gridCol w:w="725"/>
        <w:gridCol w:w="725"/>
        <w:gridCol w:w="727"/>
        <w:gridCol w:w="731"/>
        <w:gridCol w:w="725"/>
        <w:gridCol w:w="725"/>
        <w:gridCol w:w="725"/>
        <w:gridCol w:w="725"/>
        <w:gridCol w:w="730"/>
        <w:gridCol w:w="730"/>
      </w:tblGrid>
      <w:tr>
        <w:tblPrEx>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决算数</w:t>
            </w:r>
          </w:p>
        </w:tc>
      </w:tr>
      <w:tr>
        <w:tblPrEx>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公务接待费</w:t>
            </w:r>
          </w:p>
        </w:tc>
      </w:tr>
      <w:tr>
        <w:tblPrEx>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CellMar>
            <w:top w:w="0" w:type="dxa"/>
            <w:left w:w="108" w:type="dxa"/>
            <w:bottom w:w="0" w:type="dxa"/>
            <w:right w:w="108"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2.50</w:t>
            </w:r>
          </w:p>
        </w:tc>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0.20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1.93</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1.93</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1.93</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0.00</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32"/>
          <w:szCs w:val="32"/>
        </w:rPr>
      </w:pPr>
    </w:p>
    <w:p>
      <w:pPr>
        <w:widowControl/>
        <w:jc w:val="center"/>
        <w:textAlignment w:val="center"/>
        <w:rPr>
          <w:sz w:val="32"/>
          <w:szCs w:val="32"/>
        </w:rPr>
      </w:pPr>
      <w:r>
        <w:rPr>
          <w:rFonts w:hint="eastAsia"/>
          <w:sz w:val="32"/>
          <w:szCs w:val="32"/>
        </w:rPr>
        <w:t>政府性基金预算财政拨款收入支出决算表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公开08表</w:t>
      </w:r>
    </w:p>
    <w:p>
      <w:pPr>
        <w:widowControl/>
        <w:textAlignment w:val="center"/>
        <w:rPr>
          <w:sz w:val="32"/>
          <w:szCs w:val="32"/>
        </w:rPr>
      </w:pPr>
      <w:r>
        <w:rPr>
          <w:rFonts w:hint="eastAsia" w:ascii="宋体" w:hAnsi="宋体" w:eastAsia="宋体" w:cs="宋体"/>
          <w:color w:val="000000"/>
          <w:kern w:val="0"/>
          <w:sz w:val="16"/>
          <w:szCs w:val="16"/>
        </w:rPr>
        <w:t>部门：湖南省林木种子储备调剂中心               2020年度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122"/>
        <w:gridCol w:w="1395"/>
        <w:gridCol w:w="1144"/>
        <w:gridCol w:w="980"/>
        <w:gridCol w:w="873"/>
        <w:gridCol w:w="1097"/>
        <w:gridCol w:w="1076"/>
        <w:gridCol w:w="1030"/>
      </w:tblGrid>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年末结转和结余</w:t>
            </w:r>
          </w:p>
        </w:tc>
      </w:tr>
      <w:tr>
        <w:tblPrEx>
          <w:tblCellMar>
            <w:top w:w="0" w:type="dxa"/>
            <w:left w:w="108" w:type="dxa"/>
            <w:bottom w:w="0" w:type="dxa"/>
            <w:right w:w="108" w:type="dxa"/>
          </w:tblCellMar>
        </w:tblPrEx>
        <w:trPr>
          <w:trHeight w:val="312"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注：本单位无政府性基金预算。</w:t>
            </w:r>
          </w:p>
        </w:tc>
      </w:tr>
    </w:tbl>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国有资本经营预算财政拨款支出决算表</w:t>
      </w:r>
    </w:p>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公开09表</w:t>
      </w:r>
    </w:p>
    <w:p>
      <w:pPr>
        <w:widowControl/>
        <w:textAlignment w:val="center"/>
        <w:rPr>
          <w:sz w:val="32"/>
          <w:szCs w:val="32"/>
        </w:rPr>
      </w:pPr>
      <w:r>
        <w:rPr>
          <w:rFonts w:hint="eastAsia" w:ascii="宋体" w:hAnsi="宋体" w:eastAsia="宋体" w:cs="宋体"/>
          <w:color w:val="000000"/>
          <w:kern w:val="0"/>
          <w:sz w:val="16"/>
          <w:szCs w:val="16"/>
        </w:rPr>
        <w:t>部门：湖南省林木种子储备调剂中心               2020年度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199"/>
        <w:gridCol w:w="2903"/>
        <w:gridCol w:w="1534"/>
        <w:gridCol w:w="1534"/>
        <w:gridCol w:w="1547"/>
      </w:tblGrid>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w:t>
            </w:r>
          </w:p>
        </w:tc>
        <w:tc>
          <w:tcPr>
            <w:tcW w:w="26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本年支出</w:t>
            </w:r>
          </w:p>
        </w:tc>
      </w:tr>
      <w:tr>
        <w:tblPrEx>
          <w:tblCellMar>
            <w:top w:w="0" w:type="dxa"/>
            <w:left w:w="108" w:type="dxa"/>
            <w:bottom w:w="0" w:type="dxa"/>
            <w:right w:w="108" w:type="dxa"/>
          </w:tblCellMar>
        </w:tblPrEx>
        <w:trPr>
          <w:trHeight w:val="312"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功能分类科目编码</w:t>
            </w:r>
          </w:p>
        </w:tc>
        <w:tc>
          <w:tcPr>
            <w:tcW w:w="166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科目名称</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基本支出</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项目支出</w:t>
            </w: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栏次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16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注：本单位无国有资本经营预算财政拨款支出情况。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44"/>
          <w:szCs w:val="44"/>
        </w:rPr>
      </w:pPr>
      <w:r>
        <w:rPr>
          <w:rFonts w:hint="eastAsia"/>
          <w:sz w:val="44"/>
          <w:szCs w:val="44"/>
        </w:rPr>
        <w:t>第三部分2020年度部门决算情况说明</w:t>
      </w:r>
    </w:p>
    <w:p>
      <w:pPr>
        <w:rPr>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2020年度收、支总计433.34万元。与上年相比，增加1.05万元，与上年基本持平。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本年收入合计406.89万元，其中：财政拨款收入374.39万元，占92.01%；上级补助收入0万元，占0%；事业收入0万元，占0%；经营收入0万元，占0%；附属单位上缴收入0万元，占0%；其他收入32.05万元，占7.99%。</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本年支出合计432.26万元，其中：基本支出417.26万元，占96.53%；项目支出15万元，占3.74%。</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2020年度财政拨款收、支总计374.39万元，与上年相比，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16.61万元，下降4.2%，主要原因是：2019年未形成结余结转。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2020年度财政拨款支出373.31万元，占本年预算数的99.71%,与上年相比，财政拨款支出减少17.69万元，减少4.5%，主要原因是：2019年未形成结余结转。年末财政拨款结转和结余1.08万元。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2020年度财政拨款支出373.31万元，</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lang w:val="en-US" w:eastAsia="zh-CN"/>
        </w:rPr>
        <w:t>358.31万元，占95.98%，项目支出15万元，占4.02%。</w:t>
      </w:r>
      <w:r>
        <w:rPr>
          <w:rFonts w:hint="eastAsia" w:ascii="仿宋_GB2312" w:hAnsi="仿宋_GB2312" w:eastAsia="仿宋_GB2312" w:cs="仿宋_GB2312"/>
          <w:sz w:val="32"/>
          <w:szCs w:val="32"/>
        </w:rPr>
        <w:t>主要用于以下方面：社会保障和就业支出35万元，占9.38%；农林水支出312.31万元，占83.66%;住房保障支出26万元，占6.96%。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（三）财政拨款支出决算具体情况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2020年度财政拨款支出年初预算数为359.29万元，支出决算数为373.31万元，完成年初预算的103.9%，其中：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年初预算为35万元，支出决算为35万元，完成年初预算的100%。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2、农林水支出（类）林业和草原（款）事业机构（项）。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年初预算为278.39万元，支出决算为297.31万元，完成年初预算的106.8%。</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3、农林水支出（类）林业和草原（款）森林资源培育（项）。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年初预算为20万元，支出决算为15万元，完成年初预算的75%,主要原因是年中进行了调整。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4、住房保障支出（类）住房改革支出（款）住房公积金（项）。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年初预算为26万元，支出决算为26万元，完成年初预算的100%。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岀358.31万元，其中：人员经费348.78万元，占基本支出的97.34%，主要包括基本工资、津贴补贴、奖金、绩效工资、机关事业单位基本养老保险缴费、职工基本医疗保险缴费、其他社会保障缴费、住房公积金、离休费、医疗费补助、奖励金、其他对个人和家庭的补助；公用经费9.53万元，占基本支出的2.66%，主要包括工会经费、福利费、公务用车运行维护费、其他交通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（一）“三公”经费财政拨款支出决算总体情况说明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“三公”经费财政拨款支出预算为2.7万元，支出决算为1.93万元，完成预算的71.48%，其中：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公务接待费支出预算为0.2万元，支出决算为0万元，完成预算的0%，决算数小于预算数的主要原因是厉行节约，减少了公务接待，与上年相同。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公务用车购置费及运行维护费支出预算为2.5万元，支出决算为1.93万元，完成预算的77.2%，与上年相比减少0.91万元，减少32.04%，减少的主要原因是厉行节约，减少了公务用车。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（二）“三公”经费财政拨款支出决算具体情况说明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2020年度“三公”经费财政拨款支出决算中，公务接待费支出决算0万元，占0%，因公出国（境）费支出决算0万元，占0%，公务用车购置费及运行维护费支出决算1.93万元，占100%。其中：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1、因公出国（境）费支出决算为0万元，全年未安排因公出国（境）团组及人员。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2、公务接待费支出决算为0万元，全年未发生公务接待支出。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1.93万元，其中：公务用车购置费0万元，公务用车运行维护费1.93万元，主要是用于种子储备、调拨支出，截止2020年12月31日，我单位开支财政拨款的公务用车保有量为1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八、政府性基金预算收入支出决算情况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本单位无政府性基金收支。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九、关于机关运行经费支出说明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度机关运行经费支出9.53万元（与部门决算中行政单位和参照公务员法管理事业单位一般公共预算财政拨款基本支岀中公用经费之和一致），较上年减少29.17万元，减少75.37%，主要原因是：2020年一次性压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十、一般性支出情况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2020年本部门未开支会议费及培训费。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十一、关于政府采购支出说明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本部门2020年度未发生政府釆购支出。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截至2020年12月31日,本单位共有车辆1辆，其中，其他用车1辆；单位价值50万元以上通用设备0台（套）；单位价值100万元以上专用设备0台（套）。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十三、关于2020年度预算绩效情况的说明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见附件。</w:t>
      </w:r>
      <w:bookmarkStart w:id="0" w:name="_GoBack"/>
      <w:bookmarkEnd w:id="0"/>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jc w:val="center"/>
        <w:rPr>
          <w:sz w:val="44"/>
          <w:szCs w:val="44"/>
        </w:rPr>
      </w:pPr>
      <w:r>
        <w:rPr>
          <w:rFonts w:hint="eastAsia"/>
          <w:sz w:val="44"/>
          <w:szCs w:val="44"/>
        </w:rPr>
        <w:t>第四部分名词解释</w:t>
      </w: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ind w:right="25" w:rightChars="12" w:firstLine="642" w:firstLineChars="200"/>
        <w:rPr>
          <w:rFonts w:eastAsia="仿宋_GB2312"/>
          <w:sz w:val="32"/>
          <w:szCs w:val="32"/>
        </w:rPr>
      </w:pPr>
      <w:r>
        <w:rPr>
          <w:rFonts w:eastAsia="仿宋_GB2312"/>
          <w:b/>
          <w:sz w:val="32"/>
          <w:szCs w:val="32"/>
        </w:rPr>
        <w:t>二、事业收入：</w:t>
      </w:r>
      <w:r>
        <w:rPr>
          <w:rFonts w:eastAsia="仿宋_GB2312"/>
          <w:sz w:val="32"/>
          <w:szCs w:val="32"/>
        </w:rPr>
        <w:t>指事业单位开展专业业务活动及辅助活动取得的收入。</w:t>
      </w:r>
    </w:p>
    <w:p>
      <w:pPr>
        <w:spacing w:line="360" w:lineRule="auto"/>
        <w:ind w:right="25" w:rightChars="12" w:firstLine="642" w:firstLineChars="200"/>
        <w:rPr>
          <w:rFonts w:eastAsia="仿宋_GB2312"/>
          <w:sz w:val="32"/>
          <w:szCs w:val="32"/>
        </w:rPr>
      </w:pPr>
      <w:r>
        <w:rPr>
          <w:rFonts w:eastAsia="仿宋_GB2312"/>
          <w:b/>
          <w:sz w:val="32"/>
          <w:szCs w:val="32"/>
        </w:rPr>
        <w:t>三、经营收入：</w:t>
      </w:r>
      <w:r>
        <w:rPr>
          <w:rFonts w:eastAsia="仿宋_GB2312"/>
          <w:sz w:val="32"/>
          <w:szCs w:val="32"/>
        </w:rPr>
        <w:t xml:space="preserve">指事业单位在专业业务活动及其辅助活动之外开展非独立核算经营活动取得的收入。 </w:t>
      </w:r>
    </w:p>
    <w:p>
      <w:pPr>
        <w:spacing w:line="360" w:lineRule="auto"/>
        <w:ind w:right="25" w:rightChars="12" w:firstLine="642" w:firstLineChars="200"/>
        <w:rPr>
          <w:rFonts w:eastAsia="仿宋_GB2312"/>
          <w:sz w:val="32"/>
          <w:szCs w:val="32"/>
        </w:rPr>
      </w:pPr>
      <w:r>
        <w:rPr>
          <w:rFonts w:eastAsia="仿宋_GB2312"/>
          <w:b/>
          <w:sz w:val="32"/>
          <w:szCs w:val="32"/>
        </w:rPr>
        <w:t>四、其他收入：</w:t>
      </w:r>
      <w:r>
        <w:rPr>
          <w:rFonts w:eastAsia="仿宋_GB2312"/>
          <w:sz w:val="32"/>
          <w:szCs w:val="32"/>
        </w:rPr>
        <w:t>指单位取得的除上述收入以外的各项收入。主要是按规定动用的售房收入、存款利息收入等。</w:t>
      </w:r>
    </w:p>
    <w:p>
      <w:pPr>
        <w:spacing w:line="360" w:lineRule="auto"/>
        <w:ind w:right="25" w:rightChars="12" w:firstLine="642" w:firstLineChars="200"/>
        <w:rPr>
          <w:rFonts w:eastAsia="仿宋_GB2312"/>
          <w:color w:val="000000"/>
          <w:sz w:val="32"/>
          <w:szCs w:val="32"/>
        </w:rPr>
      </w:pPr>
      <w:r>
        <w:rPr>
          <w:rFonts w:eastAsia="仿宋_GB2312"/>
          <w:b/>
          <w:sz w:val="32"/>
          <w:szCs w:val="32"/>
        </w:rPr>
        <w:t>五、</w:t>
      </w:r>
      <w:r>
        <w:rPr>
          <w:rFonts w:hint="eastAsia" w:eastAsia="仿宋_GB2312"/>
          <w:b/>
          <w:sz w:val="32"/>
          <w:szCs w:val="32"/>
        </w:rPr>
        <w:t>使用非财政拨款结余</w:t>
      </w:r>
      <w:r>
        <w:rPr>
          <w:rFonts w:eastAsia="仿宋_GB2312"/>
          <w:b/>
          <w:sz w:val="32"/>
          <w:szCs w:val="32"/>
        </w:rPr>
        <w:t>：</w:t>
      </w:r>
      <w:r>
        <w:rPr>
          <w:rFonts w:eastAsia="仿宋_GB2312"/>
          <w:sz w:val="32"/>
          <w:szCs w:val="32"/>
        </w:rPr>
        <w:t>指事业单位在当年的财政拨款收入、事业收入、其他收入不足以安排当年支出的情况下，使用以前年度积累的</w:t>
      </w:r>
      <w:r>
        <w:rPr>
          <w:rFonts w:hint="eastAsia" w:eastAsia="仿宋_GB2312"/>
          <w:sz w:val="32"/>
          <w:szCs w:val="32"/>
        </w:rPr>
        <w:t>非财政拨款</w:t>
      </w:r>
      <w:r>
        <w:rPr>
          <w:rFonts w:eastAsia="仿宋_GB2312"/>
          <w:sz w:val="32"/>
          <w:szCs w:val="32"/>
        </w:rPr>
        <w:t>结余（事业单位当年收支相抵后按国家规定提取、用于弥补以后年度收支差额的</w:t>
      </w:r>
      <w:r>
        <w:rPr>
          <w:rFonts w:hint="eastAsia" w:eastAsia="仿宋_GB2312"/>
          <w:sz w:val="32"/>
          <w:szCs w:val="32"/>
        </w:rPr>
        <w:t>结余</w:t>
      </w:r>
      <w:r>
        <w:rPr>
          <w:rFonts w:eastAsia="仿宋_GB2312"/>
          <w:sz w:val="32"/>
          <w:szCs w:val="32"/>
        </w:rPr>
        <w:t>）弥补本年度收支缺口的资金。</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六、基本支出：</w:t>
      </w:r>
      <w:r>
        <w:rPr>
          <w:rFonts w:eastAsia="仿宋_GB2312"/>
          <w:color w:val="000000"/>
          <w:sz w:val="32"/>
          <w:szCs w:val="32"/>
        </w:rPr>
        <w:t>是指为保障机构正常运转、完成日常工作任务而发生的人员支出和公用支出。  </w:t>
      </w:r>
    </w:p>
    <w:p>
      <w:pPr>
        <w:spacing w:line="360" w:lineRule="auto"/>
        <w:rPr>
          <w:rFonts w:eastAsia="仿宋_GB2312"/>
          <w:color w:val="000000"/>
          <w:sz w:val="32"/>
          <w:szCs w:val="32"/>
        </w:rPr>
      </w:pPr>
      <w:r>
        <w:rPr>
          <w:rFonts w:eastAsia="仿宋_GB2312"/>
          <w:b/>
          <w:color w:val="000000"/>
          <w:sz w:val="32"/>
          <w:szCs w:val="32"/>
        </w:rPr>
        <w:t>七、项目支出：</w:t>
      </w:r>
      <w:r>
        <w:rPr>
          <w:rFonts w:eastAsia="仿宋_GB2312"/>
          <w:color w:val="000000"/>
          <w:sz w:val="32"/>
          <w:szCs w:val="32"/>
        </w:rPr>
        <w:t>是指在基本支出之外为完成特定的行政工作任务或事业发展目标所发生的支出。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八、自然</w:t>
      </w:r>
      <w:r>
        <w:rPr>
          <w:rFonts w:hint="eastAsia" w:eastAsia="仿宋_GB2312"/>
          <w:b/>
          <w:color w:val="000000"/>
          <w:sz w:val="32"/>
          <w:szCs w:val="32"/>
        </w:rPr>
        <w:t>资源</w:t>
      </w:r>
      <w:r>
        <w:rPr>
          <w:rFonts w:eastAsia="仿宋_GB2312"/>
          <w:b/>
          <w:color w:val="000000"/>
          <w:sz w:val="32"/>
          <w:szCs w:val="32"/>
        </w:rPr>
        <w:t>海洋气象等支出：</w:t>
      </w:r>
      <w:r>
        <w:rPr>
          <w:rFonts w:eastAsia="仿宋_GB2312"/>
          <w:color w:val="000000"/>
          <w:sz w:val="32"/>
          <w:szCs w:val="32"/>
        </w:rPr>
        <w:t>指政府用于国土资源、海洋、测绘、地震、气象等公益服务事业方面的支出。  </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九、年初结转和结余：</w:t>
      </w:r>
      <w:r>
        <w:rPr>
          <w:rFonts w:eastAsia="仿宋_GB2312"/>
          <w:color w:val="000000"/>
          <w:sz w:val="32"/>
          <w:szCs w:val="32"/>
        </w:rPr>
        <w:t>是指以前年度支出预算因客观条件变化未执行完毕、结转到本年度按规定继续使用的资金。  </w:t>
      </w:r>
    </w:p>
    <w:p>
      <w:pPr>
        <w:spacing w:line="360" w:lineRule="auto"/>
        <w:ind w:firstLine="645"/>
        <w:rPr>
          <w:rFonts w:eastAsia="仿宋_GB2312"/>
          <w:color w:val="000000"/>
          <w:sz w:val="32"/>
          <w:szCs w:val="32"/>
        </w:rPr>
      </w:pPr>
      <w:r>
        <w:rPr>
          <w:rFonts w:eastAsia="仿宋_GB2312"/>
          <w:b/>
          <w:color w:val="000000"/>
          <w:sz w:val="32"/>
          <w:szCs w:val="32"/>
        </w:rPr>
        <w:t>十、年末结转和结余：</w:t>
      </w:r>
      <w:r>
        <w:rPr>
          <w:rFonts w:eastAsia="仿宋_GB2312"/>
          <w:color w:val="000000"/>
          <w:sz w:val="32"/>
          <w:szCs w:val="32"/>
        </w:rPr>
        <w:t>是指本年度或以前年度预算安排、因客观条件发生变化无法按原计划实施，需要延迟到以后年度继续使用的资金。  </w:t>
      </w:r>
    </w:p>
    <w:p>
      <w:pPr>
        <w:autoSpaceDE w:val="0"/>
        <w:spacing w:line="360" w:lineRule="auto"/>
        <w:ind w:firstLine="642" w:firstLineChars="200"/>
        <w:rPr>
          <w:rFonts w:eastAsia="仿宋_GB2312"/>
          <w:sz w:val="32"/>
          <w:szCs w:val="32"/>
        </w:rPr>
      </w:pPr>
      <w:r>
        <w:rPr>
          <w:rFonts w:eastAsia="仿宋_GB2312"/>
          <w:b/>
          <w:sz w:val="32"/>
          <w:szCs w:val="32"/>
        </w:rPr>
        <w:t>十一、三公经费：</w:t>
      </w:r>
      <w:r>
        <w:rPr>
          <w:rFonts w:eastAsia="仿宋_GB2312"/>
          <w:sz w:val="32"/>
          <w:szCs w:val="32"/>
        </w:rPr>
        <w:t>是指部门用财政拨款安排的因公出国（境）费、公务用车购置及运行维护费和公务接待费。</w:t>
      </w:r>
    </w:p>
    <w:p>
      <w:pPr>
        <w:autoSpaceDE w:val="0"/>
        <w:spacing w:line="360" w:lineRule="auto"/>
        <w:ind w:firstLine="660"/>
        <w:rPr>
          <w:rFonts w:eastAsia="仿宋_GB2312"/>
          <w:sz w:val="32"/>
          <w:szCs w:val="32"/>
        </w:rPr>
      </w:pPr>
      <w:r>
        <w:rPr>
          <w:rFonts w:eastAsia="仿宋_GB2312"/>
          <w:b/>
          <w:sz w:val="32"/>
          <w:szCs w:val="32"/>
        </w:rPr>
        <w:t>十二、机关运行经费：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rPr>
          <w:rFonts w:hint="eastAsia" w:ascii="仿宋_GB2312" w:hAnsi="仿宋_GB2312" w:eastAsia="仿宋_GB2312" w:cs="仿宋_GB2312"/>
          <w:sz w:val="32"/>
          <w:szCs w:val="32"/>
          <w:lang w:eastAsia="zh-CN"/>
        </w:rPr>
      </w:pPr>
    </w:p>
    <w:p>
      <w:pPr>
        <w:spacing w:line="600" w:lineRule="exact"/>
        <w:jc w:val="center"/>
        <w:rPr>
          <w:rFonts w:eastAsia="方正小标宋_GBK"/>
          <w:sz w:val="44"/>
          <w:szCs w:val="44"/>
        </w:rPr>
      </w:pPr>
      <w:r>
        <w:rPr>
          <w:rFonts w:hint="eastAsia" w:eastAsia="方正小标宋_GBK"/>
          <w:sz w:val="44"/>
          <w:szCs w:val="44"/>
        </w:rPr>
        <w:t>2020</w:t>
      </w:r>
      <w:r>
        <w:rPr>
          <w:rFonts w:eastAsia="方正小标宋_GBK"/>
          <w:sz w:val="44"/>
          <w:szCs w:val="44"/>
        </w:rPr>
        <w:t>年度</w:t>
      </w:r>
      <w:r>
        <w:rPr>
          <w:rFonts w:hint="eastAsia" w:eastAsia="方正小标宋_GBK"/>
          <w:sz w:val="44"/>
          <w:szCs w:val="44"/>
        </w:rPr>
        <w:t>湖南省林木种子储备调剂中心</w:t>
      </w:r>
    </w:p>
    <w:p>
      <w:pPr>
        <w:jc w:val="center"/>
        <w:rPr>
          <w:rFonts w:eastAsia="方正小标宋_GBK"/>
          <w:sz w:val="44"/>
          <w:szCs w:val="44"/>
        </w:rPr>
      </w:pPr>
      <w:r>
        <w:rPr>
          <w:rFonts w:eastAsia="方正小标宋_GBK"/>
          <w:sz w:val="44"/>
          <w:szCs w:val="44"/>
        </w:rPr>
        <w:t>整体支出绩效自评报告</w:t>
      </w:r>
    </w:p>
    <w:p>
      <w:pPr>
        <w:rPr>
          <w:rFonts w:eastAsia="楷体_GB2312"/>
          <w:b/>
          <w:sz w:val="36"/>
          <w:szCs w:val="36"/>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一、基本情况</w:t>
      </w:r>
    </w:p>
    <w:p>
      <w:pPr>
        <w:spacing w:line="600" w:lineRule="exact"/>
        <w:ind w:firstLine="64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（一）单位基本情况</w:t>
      </w:r>
    </w:p>
    <w:p>
      <w:pPr>
        <w:snapToGrid w:val="0"/>
        <w:spacing w:line="52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1、主要职能：林木种子调拨、贮藏、调剂。</w:t>
      </w:r>
    </w:p>
    <w:p>
      <w:pPr>
        <w:snapToGrid w:val="0"/>
        <w:spacing w:line="52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2、机构情况：本单位成立于1986年，属于湖南省林业局直属的全额拨款公益类事业单位。</w:t>
      </w:r>
    </w:p>
    <w:p>
      <w:pPr>
        <w:snapToGrid w:val="0"/>
        <w:spacing w:line="52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3、人员情况：年末编制人数19人，实有在职在编人员17人，离休人员1人，由养老保险基金发放养老金的退休人员14人。</w:t>
      </w:r>
    </w:p>
    <w:p>
      <w:pPr>
        <w:spacing w:line="600" w:lineRule="exact"/>
        <w:ind w:firstLine="64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（二）单位年度整体支出绩效目标</w:t>
      </w:r>
    </w:p>
    <w:p>
      <w:pPr>
        <w:snapToGrid w:val="0"/>
        <w:spacing w:line="52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2020年调剂入库种子质量17个种批，136个批次样品，共入库种子2851.2公斤，出库种子2250公斤，对506公斤不合格种子及时进行了处理，确保调剂发放的种子质量合格率达100%。严把种苗质量关，确保造林用种安全。严格执行质量检验程序，从源头上杜绝了假冒伪劣种子进入市场，对不合格种子及时进行了处理，保障了全省造林的质量和水平。</w:t>
      </w:r>
    </w:p>
    <w:p>
      <w:pPr>
        <w:pStyle w:val="1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二、一般公共预算支出情况</w:t>
      </w:r>
    </w:p>
    <w:p>
      <w:pPr>
        <w:pStyle w:val="10"/>
        <w:spacing w:line="600" w:lineRule="exact"/>
        <w:ind w:firstLine="64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（一）基本支出情况</w:t>
      </w:r>
    </w:p>
    <w:p>
      <w:pPr>
        <w:snapToGrid w:val="0"/>
        <w:spacing w:line="52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2020年度基本支出417.26万元。其中:工资福利支出292.73万元，日常公用经费54.98万元，对个人和家庭的补助69.55万元。2020年部门预算安排“三公”经费2.7万元，实际支出1.93万元，其中公务车运行维护费1.93万元，无公务接待费和因公出国（境）费用。</w:t>
      </w:r>
    </w:p>
    <w:p>
      <w:pPr>
        <w:pStyle w:val="10"/>
        <w:spacing w:line="600" w:lineRule="exact"/>
        <w:ind w:firstLine="64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（二）项目支出情况</w:t>
      </w:r>
    </w:p>
    <w:p>
      <w:pPr>
        <w:snapToGrid w:val="0"/>
        <w:spacing w:line="52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我单位2020年度业务工作经费项目支出15万元，其中：办公费1.62万元，邮电费0.69万元，维修（护）费10.89万元，委托业务费1.8万元。</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三、部门整体支出绩效情况</w:t>
      </w:r>
    </w:p>
    <w:p>
      <w:pPr>
        <w:snapToGrid w:val="0"/>
        <w:spacing w:line="520" w:lineRule="exact"/>
        <w:ind w:firstLine="64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2020年，我单位本年收入433.34（其中财政补助收入374.39万元，其他收入32.50万元，非财政拨款结余26.45万元），实际支出432.26万元（其中基本支出417.26万元，项目支出257.23万元），年末结余1.08万元。在局党组的正确领导下，我局围绕年初工作目标，克服新冠疫情影响，各项工作成效明显。通过加强预算管理，严控运行成本，我单位整体支出绩效管理水平得到提升。主要表现在以下几个方面：一是资金管理规范。严格按照财经法规管理和使用资金，认真贯彻落实财务管理制度办法，严把资金使用审核关口。二是履职效能突出。严把种苗质量关，确保造林用种安全。严格执行质量检验程序，从源头上杜绝了假冒伪劣种子进入市场，对不合格种子及时进行了处理，保障了全省造林的质量和水平。三是资金运行平稳。2020年度各项资金严格按预算执行，基本支出主要用于我单位日常运转所需的工资、社保等人员经费和办公等公用经费。项目支出主要用于我单位日常办公维修等方面。</w:t>
      </w:r>
    </w:p>
    <w:p>
      <w:pPr>
        <w:pStyle w:val="1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四、存在的问题及原因分析</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本单位2020年预算支出执行虽较好的完成了，但因疫情原因，相关工程维修工作滞后，影响了项目资金在上半年的支出进度。</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五、下一步改进措施</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1、认真做好预算的编制，提高资金使用效率。进一步加强单位内部机构的预算管理意识，细化预算编制工作，严格按照预算编制的相关制度和要求进行预算编制，加强预算执行，提高预算资金的使用效率。</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3、完善资产管理。规范各类资产的购置审批制度、资产处置和报废审批制度、资产管理岗位职责制度等，加强单位内部的资产管理工作。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六、绩效自评结果拟应用和公开情况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本次绩效自评结果将为我单位2021年提供资金使用依据和方向，以便进一步加快预算执行进度。</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七、其他需要说明的情况</w:t>
      </w:r>
    </w:p>
    <w:p>
      <w:pPr>
        <w:spacing w:line="600" w:lineRule="exact"/>
        <w:ind w:firstLine="640" w:firstLineChars="200"/>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sz w:val="32"/>
          <w:szCs w:val="32"/>
        </w:rPr>
        <w:t>无</w:t>
      </w:r>
    </w:p>
    <w:p>
      <w:pPr>
        <w:widowControl/>
        <w:jc w:val="left"/>
        <w:rPr>
          <w:rFonts w:eastAsia="黑体"/>
          <w:szCs w:val="32"/>
        </w:rPr>
      </w:pPr>
      <w:r>
        <w:rPr>
          <w:rFonts w:eastAsia="黑体"/>
          <w:szCs w:val="32"/>
        </w:rPr>
        <w:br w:type="page"/>
      </w:r>
    </w:p>
    <w:p>
      <w:pPr>
        <w:widowControl/>
        <w:jc w:val="left"/>
        <w:rPr>
          <w:rFonts w:eastAsia="黑体"/>
          <w:szCs w:val="32"/>
        </w:rPr>
      </w:pPr>
      <w:r>
        <w:rPr>
          <w:rFonts w:eastAsia="黑体"/>
          <w:szCs w:val="32"/>
        </w:rPr>
        <w:t>附件</w:t>
      </w:r>
      <w:r>
        <w:rPr>
          <w:rFonts w:hint="eastAsia" w:eastAsia="黑体"/>
          <w:szCs w:val="32"/>
        </w:rPr>
        <w:t>1</w:t>
      </w:r>
    </w:p>
    <w:p>
      <w:pPr>
        <w:spacing w:line="560" w:lineRule="exact"/>
        <w:jc w:val="center"/>
        <w:rPr>
          <w:rFonts w:eastAsia="方正小标宋_GBK"/>
          <w:kern w:val="0"/>
          <w:szCs w:val="32"/>
        </w:rPr>
      </w:pPr>
      <w:r>
        <w:rPr>
          <w:rFonts w:hint="eastAsia" w:eastAsia="方正小标宋_GBK"/>
          <w:kern w:val="0"/>
          <w:szCs w:val="32"/>
        </w:rPr>
        <w:t>2020年度单位</w:t>
      </w:r>
      <w:r>
        <w:rPr>
          <w:rFonts w:eastAsia="方正小标宋_GBK"/>
          <w:kern w:val="0"/>
          <w:szCs w:val="32"/>
        </w:rPr>
        <w:t>整体支出绩效评价基础数据表</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财政供养人员情况</w:t>
            </w:r>
          </w:p>
        </w:tc>
        <w:tc>
          <w:tcPr>
            <w:tcW w:w="2038" w:type="dxa"/>
            <w:gridSpan w:val="2"/>
            <w:tcBorders>
              <w:top w:val="single" w:color="auto" w:sz="12"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编制数</w:t>
            </w:r>
          </w:p>
        </w:tc>
        <w:tc>
          <w:tcPr>
            <w:tcW w:w="2240" w:type="dxa"/>
            <w:gridSpan w:val="2"/>
            <w:tcBorders>
              <w:top w:val="single" w:color="auto" w:sz="12"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2020年实际在职人数</w:t>
            </w:r>
          </w:p>
        </w:tc>
        <w:tc>
          <w:tcPr>
            <w:tcW w:w="1832" w:type="dxa"/>
            <w:gridSpan w:val="2"/>
            <w:tcBorders>
              <w:top w:val="single" w:color="auto" w:sz="12" w:space="0"/>
              <w:right w:val="single" w:color="auto" w:sz="12"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shd w:val="clear" w:color="auto" w:fill="auto"/>
            <w:noWrap/>
            <w:vAlign w:val="center"/>
          </w:tcPr>
          <w:p>
            <w:pPr>
              <w:widowControl/>
              <w:jc w:val="left"/>
              <w:rPr>
                <w:rFonts w:ascii="仿宋" w:hAnsi="仿宋" w:eastAsia="仿宋" w:cs="仿宋"/>
                <w:b/>
                <w:bCs/>
                <w:kern w:val="0"/>
                <w:sz w:val="24"/>
                <w:szCs w:val="24"/>
              </w:rPr>
            </w:pP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19</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17</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89.47%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经费控制情况</w:t>
            </w:r>
          </w:p>
        </w:tc>
        <w:tc>
          <w:tcPr>
            <w:tcW w:w="2038" w:type="dxa"/>
            <w:gridSpan w:val="2"/>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2019年决算数</w:t>
            </w:r>
          </w:p>
        </w:tc>
        <w:tc>
          <w:tcPr>
            <w:tcW w:w="2240" w:type="dxa"/>
            <w:gridSpan w:val="2"/>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2020年预算数</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2020年决算数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三公经费</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1、公务用车购置和维护经费</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2.84　</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2.5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其中：公车购置</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公车运行维护</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2.84</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2.5</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2、出国经费</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3、公务接待</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0.2</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项目支出</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1、业务工作经费</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17.7</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15</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2038" w:type="dxa"/>
            <w:gridSpan w:val="2"/>
            <w:shd w:val="clear" w:color="auto" w:fill="auto"/>
            <w:noWrap/>
            <w:vAlign w:val="center"/>
          </w:tcPr>
          <w:p>
            <w:pPr>
              <w:widowControl/>
              <w:jc w:val="center"/>
              <w:rPr>
                <w:rFonts w:ascii="仿宋" w:hAnsi="仿宋" w:eastAsia="仿宋" w:cs="仿宋"/>
                <w:kern w:val="0"/>
                <w:sz w:val="24"/>
                <w:szCs w:val="24"/>
              </w:rPr>
            </w:pP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公用经费</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其中：办公费</w:t>
            </w:r>
          </w:p>
        </w:tc>
        <w:tc>
          <w:tcPr>
            <w:tcW w:w="2038" w:type="dxa"/>
            <w:gridSpan w:val="2"/>
            <w:shd w:val="clear" w:color="auto" w:fill="auto"/>
            <w:noWrap/>
            <w:vAlign w:val="center"/>
          </w:tcPr>
          <w:p>
            <w:pPr>
              <w:widowControl/>
              <w:jc w:val="center"/>
              <w:rPr>
                <w:rFonts w:ascii="仿宋" w:hAnsi="仿宋" w:eastAsia="仿宋" w:cs="仿宋"/>
                <w:color w:val="FF0000"/>
                <w:kern w:val="0"/>
                <w:sz w:val="24"/>
                <w:szCs w:val="24"/>
              </w:rPr>
            </w:pPr>
            <w:r>
              <w:rPr>
                <w:rFonts w:hint="eastAsia" w:ascii="仿宋" w:hAnsi="仿宋" w:eastAsia="仿宋" w:cs="仿宋"/>
                <w:color w:val="FF0000"/>
                <w:kern w:val="0"/>
                <w:sz w:val="24"/>
                <w:szCs w:val="24"/>
              </w:rPr>
              <w:t>　</w:t>
            </w:r>
          </w:p>
        </w:tc>
        <w:tc>
          <w:tcPr>
            <w:tcW w:w="2240" w:type="dxa"/>
            <w:gridSpan w:val="2"/>
            <w:shd w:val="clear" w:color="auto" w:fill="auto"/>
            <w:noWrap/>
            <w:vAlign w:val="center"/>
          </w:tcPr>
          <w:p>
            <w:pPr>
              <w:widowControl/>
              <w:jc w:val="center"/>
              <w:rPr>
                <w:rFonts w:ascii="仿宋" w:hAnsi="仿宋" w:eastAsia="仿宋" w:cs="仿宋"/>
                <w:color w:val="FF0000"/>
                <w:kern w:val="0"/>
                <w:sz w:val="24"/>
                <w:szCs w:val="24"/>
              </w:rPr>
            </w:pPr>
            <w:r>
              <w:rPr>
                <w:rFonts w:hint="eastAsia" w:ascii="仿宋" w:hAnsi="仿宋" w:eastAsia="仿宋" w:cs="仿宋"/>
                <w:color w:val="FF0000"/>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水费、电费、差旅费</w:t>
            </w:r>
          </w:p>
        </w:tc>
        <w:tc>
          <w:tcPr>
            <w:tcW w:w="2038" w:type="dxa"/>
            <w:gridSpan w:val="2"/>
            <w:shd w:val="clear" w:color="auto" w:fill="auto"/>
            <w:noWrap/>
            <w:vAlign w:val="center"/>
          </w:tcPr>
          <w:p>
            <w:pPr>
              <w:widowControl/>
              <w:jc w:val="center"/>
              <w:rPr>
                <w:rFonts w:ascii="仿宋" w:hAnsi="仿宋" w:eastAsia="仿宋" w:cs="仿宋"/>
                <w:color w:val="FF0000"/>
                <w:kern w:val="0"/>
                <w:sz w:val="24"/>
                <w:szCs w:val="24"/>
              </w:rPr>
            </w:pPr>
            <w:r>
              <w:rPr>
                <w:rFonts w:hint="eastAsia" w:ascii="仿宋" w:hAnsi="仿宋" w:eastAsia="仿宋" w:cs="仿宋"/>
                <w:color w:val="FF0000"/>
                <w:kern w:val="0"/>
                <w:sz w:val="24"/>
                <w:szCs w:val="24"/>
              </w:rPr>
              <w:t>　</w:t>
            </w:r>
          </w:p>
        </w:tc>
        <w:tc>
          <w:tcPr>
            <w:tcW w:w="2240" w:type="dxa"/>
            <w:gridSpan w:val="2"/>
            <w:shd w:val="clear" w:color="auto" w:fill="auto"/>
            <w:noWrap/>
            <w:vAlign w:val="center"/>
          </w:tcPr>
          <w:p>
            <w:pPr>
              <w:widowControl/>
              <w:jc w:val="center"/>
              <w:rPr>
                <w:rFonts w:ascii="仿宋" w:hAnsi="仿宋" w:eastAsia="仿宋" w:cs="仿宋"/>
                <w:color w:val="FF0000"/>
                <w:kern w:val="0"/>
                <w:sz w:val="24"/>
                <w:szCs w:val="24"/>
              </w:rPr>
            </w:pPr>
            <w:r>
              <w:rPr>
                <w:rFonts w:hint="eastAsia" w:ascii="仿宋" w:hAnsi="仿宋" w:eastAsia="仿宋" w:cs="仿宋"/>
                <w:color w:val="FF0000"/>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会议费、培训费</w:t>
            </w:r>
          </w:p>
        </w:tc>
        <w:tc>
          <w:tcPr>
            <w:tcW w:w="2038" w:type="dxa"/>
            <w:gridSpan w:val="2"/>
            <w:shd w:val="clear" w:color="auto" w:fill="auto"/>
            <w:noWrap/>
            <w:vAlign w:val="center"/>
          </w:tcPr>
          <w:p>
            <w:pPr>
              <w:widowControl/>
              <w:jc w:val="center"/>
              <w:rPr>
                <w:rFonts w:ascii="仿宋" w:hAnsi="仿宋" w:eastAsia="仿宋" w:cs="仿宋"/>
                <w:color w:val="FF0000"/>
                <w:kern w:val="0"/>
                <w:sz w:val="24"/>
                <w:szCs w:val="24"/>
              </w:rPr>
            </w:pPr>
            <w:r>
              <w:rPr>
                <w:rFonts w:hint="eastAsia" w:ascii="仿宋" w:hAnsi="仿宋" w:eastAsia="仿宋" w:cs="仿宋"/>
                <w:color w:val="FF0000"/>
                <w:kern w:val="0"/>
                <w:sz w:val="24"/>
                <w:szCs w:val="24"/>
              </w:rPr>
              <w:t>　</w:t>
            </w:r>
          </w:p>
        </w:tc>
        <w:tc>
          <w:tcPr>
            <w:tcW w:w="2240" w:type="dxa"/>
            <w:gridSpan w:val="2"/>
            <w:shd w:val="clear" w:color="auto" w:fill="auto"/>
            <w:noWrap/>
            <w:vAlign w:val="center"/>
          </w:tcPr>
          <w:p>
            <w:pPr>
              <w:widowControl/>
              <w:jc w:val="center"/>
              <w:rPr>
                <w:rFonts w:ascii="仿宋" w:hAnsi="仿宋" w:eastAsia="仿宋" w:cs="仿宋"/>
                <w:color w:val="FF0000"/>
                <w:kern w:val="0"/>
                <w:sz w:val="24"/>
                <w:szCs w:val="24"/>
              </w:rPr>
            </w:pPr>
            <w:r>
              <w:rPr>
                <w:rFonts w:hint="eastAsia" w:ascii="仿宋" w:hAnsi="仿宋" w:eastAsia="仿宋" w:cs="仿宋"/>
                <w:color w:val="FF0000"/>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政府采购金额</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部门基本支出预算调整 </w:t>
            </w:r>
          </w:p>
        </w:tc>
        <w:tc>
          <w:tcPr>
            <w:tcW w:w="2038"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2240" w:type="dxa"/>
            <w:gridSpan w:val="2"/>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1832" w:type="dxa"/>
            <w:gridSpan w:val="2"/>
            <w:tcBorders>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楼堂馆所控制情况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（2019年完工项目）</w:t>
            </w:r>
          </w:p>
        </w:tc>
        <w:tc>
          <w:tcPr>
            <w:tcW w:w="1189" w:type="dxa"/>
            <w:shd w:val="clear" w:color="auto" w:fill="auto"/>
            <w:noWrap/>
            <w:vAlign w:val="center"/>
          </w:tcPr>
          <w:p>
            <w:pPr>
              <w:widowControl/>
              <w:spacing w:line="240" w:lineRule="exact"/>
              <w:jc w:val="center"/>
              <w:rPr>
                <w:rFonts w:ascii="仿宋" w:hAnsi="仿宋" w:eastAsia="仿宋" w:cs="仿宋"/>
                <w:bCs/>
                <w:kern w:val="0"/>
                <w:sz w:val="24"/>
                <w:szCs w:val="24"/>
              </w:rPr>
            </w:pPr>
            <w:r>
              <w:rPr>
                <w:rFonts w:hint="eastAsia" w:ascii="仿宋" w:hAnsi="仿宋" w:eastAsia="仿宋" w:cs="仿宋"/>
                <w:bCs/>
                <w:kern w:val="0"/>
                <w:sz w:val="24"/>
                <w:szCs w:val="24"/>
              </w:rPr>
              <w:t>批复规模</w:t>
            </w:r>
            <w:r>
              <w:rPr>
                <w:rFonts w:hint="eastAsia" w:ascii="仿宋" w:hAnsi="仿宋" w:eastAsia="仿宋" w:cs="仿宋"/>
                <w:bCs/>
                <w:kern w:val="0"/>
                <w:sz w:val="24"/>
                <w:szCs w:val="24"/>
              </w:rPr>
              <w:br w:type="textWrapping"/>
            </w:r>
            <w:r>
              <w:rPr>
                <w:rFonts w:hint="eastAsia" w:ascii="仿宋" w:hAnsi="仿宋" w:eastAsia="仿宋" w:cs="仿宋"/>
                <w:bCs/>
                <w:kern w:val="0"/>
                <w:sz w:val="24"/>
                <w:szCs w:val="24"/>
              </w:rPr>
              <w:t>（㎡）</w:t>
            </w:r>
          </w:p>
        </w:tc>
        <w:tc>
          <w:tcPr>
            <w:tcW w:w="849" w:type="dxa"/>
            <w:shd w:val="clear" w:color="auto" w:fill="auto"/>
            <w:noWrap/>
            <w:vAlign w:val="center"/>
          </w:tcPr>
          <w:p>
            <w:pPr>
              <w:widowControl/>
              <w:spacing w:line="240" w:lineRule="exact"/>
              <w:jc w:val="center"/>
              <w:rPr>
                <w:rFonts w:ascii="仿宋" w:hAnsi="仿宋" w:eastAsia="仿宋" w:cs="仿宋"/>
                <w:bCs/>
                <w:kern w:val="0"/>
                <w:sz w:val="24"/>
                <w:szCs w:val="24"/>
              </w:rPr>
            </w:pPr>
            <w:r>
              <w:rPr>
                <w:rFonts w:hint="eastAsia" w:ascii="仿宋" w:hAnsi="仿宋" w:eastAsia="仿宋" w:cs="仿宋"/>
                <w:bCs/>
                <w:kern w:val="0"/>
                <w:sz w:val="24"/>
                <w:szCs w:val="24"/>
              </w:rPr>
              <w:t>实际规模（㎡）</w:t>
            </w:r>
          </w:p>
        </w:tc>
        <w:tc>
          <w:tcPr>
            <w:tcW w:w="1129" w:type="dxa"/>
            <w:shd w:val="clear" w:color="auto" w:fill="auto"/>
            <w:noWrap/>
            <w:vAlign w:val="center"/>
          </w:tcPr>
          <w:p>
            <w:pPr>
              <w:widowControl/>
              <w:spacing w:line="240" w:lineRule="exact"/>
              <w:jc w:val="center"/>
              <w:rPr>
                <w:rFonts w:ascii="仿宋" w:hAnsi="仿宋" w:eastAsia="仿宋" w:cs="仿宋"/>
                <w:bCs/>
                <w:kern w:val="0"/>
                <w:sz w:val="24"/>
                <w:szCs w:val="24"/>
              </w:rPr>
            </w:pPr>
            <w:r>
              <w:rPr>
                <w:rFonts w:hint="eastAsia" w:ascii="仿宋" w:hAnsi="仿宋" w:eastAsia="仿宋" w:cs="仿宋"/>
                <w:bCs/>
                <w:kern w:val="0"/>
                <w:sz w:val="24"/>
                <w:szCs w:val="24"/>
              </w:rPr>
              <w:t>规模控制率</w:t>
            </w:r>
          </w:p>
        </w:tc>
        <w:tc>
          <w:tcPr>
            <w:tcW w:w="1111" w:type="dxa"/>
            <w:shd w:val="clear" w:color="auto" w:fill="auto"/>
            <w:noWrap/>
            <w:vAlign w:val="center"/>
          </w:tcPr>
          <w:p>
            <w:pPr>
              <w:widowControl/>
              <w:spacing w:line="240" w:lineRule="exact"/>
              <w:jc w:val="center"/>
              <w:rPr>
                <w:rFonts w:ascii="仿宋" w:hAnsi="仿宋" w:eastAsia="仿宋" w:cs="仿宋"/>
                <w:bCs/>
                <w:kern w:val="0"/>
                <w:sz w:val="24"/>
                <w:szCs w:val="24"/>
              </w:rPr>
            </w:pPr>
            <w:r>
              <w:rPr>
                <w:rFonts w:hint="eastAsia" w:ascii="仿宋" w:hAnsi="仿宋" w:eastAsia="仿宋" w:cs="仿宋"/>
                <w:bCs/>
                <w:kern w:val="0"/>
                <w:sz w:val="24"/>
                <w:szCs w:val="24"/>
              </w:rPr>
              <w:t>预算投资（万元）</w:t>
            </w:r>
          </w:p>
        </w:tc>
        <w:tc>
          <w:tcPr>
            <w:tcW w:w="969" w:type="dxa"/>
            <w:shd w:val="clear" w:color="auto" w:fill="auto"/>
            <w:noWrap/>
            <w:vAlign w:val="center"/>
          </w:tcPr>
          <w:p>
            <w:pPr>
              <w:widowControl/>
              <w:spacing w:line="240" w:lineRule="exact"/>
              <w:jc w:val="center"/>
              <w:rPr>
                <w:rFonts w:ascii="仿宋" w:hAnsi="仿宋" w:eastAsia="仿宋" w:cs="仿宋"/>
                <w:bCs/>
                <w:kern w:val="0"/>
                <w:sz w:val="24"/>
                <w:szCs w:val="24"/>
              </w:rPr>
            </w:pPr>
            <w:r>
              <w:rPr>
                <w:rFonts w:hint="eastAsia" w:ascii="仿宋" w:hAnsi="仿宋" w:eastAsia="仿宋" w:cs="仿宋"/>
                <w:bCs/>
                <w:kern w:val="0"/>
                <w:sz w:val="24"/>
                <w:szCs w:val="24"/>
              </w:rPr>
              <w:t>实际投资（万元）</w:t>
            </w:r>
          </w:p>
        </w:tc>
        <w:tc>
          <w:tcPr>
            <w:tcW w:w="863" w:type="dxa"/>
            <w:tcBorders>
              <w:right w:val="single" w:color="auto" w:sz="12" w:space="0"/>
            </w:tcBorders>
            <w:shd w:val="clear" w:color="auto" w:fill="auto"/>
            <w:noWrap/>
            <w:vAlign w:val="center"/>
          </w:tcPr>
          <w:p>
            <w:pPr>
              <w:widowControl/>
              <w:spacing w:line="240" w:lineRule="exact"/>
              <w:jc w:val="center"/>
              <w:rPr>
                <w:rFonts w:ascii="仿宋" w:hAnsi="仿宋" w:eastAsia="仿宋" w:cs="仿宋"/>
                <w:bCs/>
                <w:kern w:val="0"/>
                <w:sz w:val="24"/>
                <w:szCs w:val="24"/>
              </w:rPr>
            </w:pPr>
            <w:r>
              <w:rPr>
                <w:rFonts w:hint="eastAsia" w:ascii="仿宋" w:hAnsi="仿宋" w:eastAsia="仿宋" w:cs="仿宋"/>
                <w:bCs/>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shd w:val="clear" w:color="auto" w:fill="auto"/>
            <w:noWrap/>
            <w:vAlign w:val="center"/>
          </w:tcPr>
          <w:p>
            <w:pPr>
              <w:widowControl/>
              <w:jc w:val="left"/>
              <w:rPr>
                <w:rFonts w:ascii="仿宋" w:hAnsi="仿宋" w:eastAsia="仿宋" w:cs="仿宋"/>
                <w:kern w:val="0"/>
                <w:sz w:val="24"/>
                <w:szCs w:val="24"/>
              </w:rPr>
            </w:pPr>
          </w:p>
        </w:tc>
        <w:tc>
          <w:tcPr>
            <w:tcW w:w="1189" w:type="dxa"/>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c>
          <w:tcPr>
            <w:tcW w:w="849" w:type="dxa"/>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29" w:type="dxa"/>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11" w:type="dxa"/>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69" w:type="dxa"/>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63" w:type="dxa"/>
            <w:tcBorders>
              <w:right w:val="single" w:color="auto" w:sz="12" w:space="0"/>
            </w:tcBorders>
            <w:shd w:val="clear" w:color="auto" w:fill="auto"/>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厉行节约保障措施</w:t>
            </w:r>
          </w:p>
        </w:tc>
        <w:tc>
          <w:tcPr>
            <w:tcW w:w="6110" w:type="dxa"/>
            <w:gridSpan w:val="6"/>
            <w:tcBorders>
              <w:bottom w:val="single" w:color="auto" w:sz="12" w:space="0"/>
              <w:right w:val="single" w:color="auto" w:sz="12" w:space="0"/>
            </w:tcBorders>
            <w:shd w:val="clear" w:color="auto" w:fill="auto"/>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360" w:lineRule="exact"/>
        <w:rPr>
          <w:rFonts w:ascii="仿宋" w:hAnsi="仿宋" w:eastAsia="仿宋" w:cs="仿宋"/>
          <w:kern w:val="0"/>
          <w:sz w:val="24"/>
          <w:szCs w:val="24"/>
        </w:rPr>
      </w:pPr>
      <w:r>
        <w:rPr>
          <w:rFonts w:hint="eastAsia" w:ascii="仿宋" w:hAnsi="仿宋" w:eastAsia="仿宋" w:cs="仿宋"/>
          <w:kern w:val="0"/>
          <w:sz w:val="21"/>
          <w:szCs w:val="21"/>
        </w:rPr>
        <w:t>说明：“项目支出”需要填报基本支出以外的所有项目支出情况，“公用经费”填报基本支出中的一般商品和服务支出。</w:t>
      </w:r>
    </w:p>
    <w:p>
      <w:pPr>
        <w:spacing w:line="360" w:lineRule="exact"/>
        <w:rPr>
          <w:rFonts w:ascii="Times New Roman" w:hAnsi="Times New Roman"/>
          <w:kern w:val="0"/>
          <w:sz w:val="24"/>
          <w:szCs w:val="24"/>
        </w:rPr>
        <w:sectPr>
          <w:pgSz w:w="11906" w:h="16838"/>
          <w:pgMar w:top="1134" w:right="1701" w:bottom="1134" w:left="1701" w:header="851" w:footer="992" w:gutter="0"/>
          <w:cols w:space="720" w:num="1"/>
          <w:docGrid w:type="lines" w:linePitch="312" w:charSpace="0"/>
        </w:sectPr>
      </w:pPr>
      <w:r>
        <w:rPr>
          <w:rFonts w:ascii="Times New Roman" w:hAnsi="Times New Roman"/>
          <w:kern w:val="0"/>
          <w:sz w:val="24"/>
          <w:szCs w:val="24"/>
        </w:rPr>
        <w:t>填表人：</w:t>
      </w:r>
      <w:r>
        <w:rPr>
          <w:rFonts w:hint="eastAsia" w:ascii="Times New Roman" w:hAnsi="Times New Roman"/>
          <w:kern w:val="0"/>
          <w:sz w:val="24"/>
          <w:szCs w:val="24"/>
        </w:rPr>
        <w:t>汤萍</w:t>
      </w:r>
      <w:r>
        <w:rPr>
          <w:rFonts w:ascii="Times New Roman" w:hAnsi="Times New Roman"/>
          <w:kern w:val="0"/>
          <w:sz w:val="24"/>
          <w:szCs w:val="24"/>
        </w:rPr>
        <w:t xml:space="preserve">        填报日期： </w:t>
      </w:r>
      <w:r>
        <w:rPr>
          <w:rFonts w:hint="eastAsia" w:ascii="Times New Roman" w:hAnsi="Times New Roman"/>
          <w:kern w:val="0"/>
          <w:sz w:val="24"/>
          <w:szCs w:val="24"/>
        </w:rPr>
        <w:t>2021.04.26</w:t>
      </w:r>
      <w:r>
        <w:rPr>
          <w:rFonts w:ascii="Times New Roman" w:hAnsi="Times New Roman"/>
          <w:kern w:val="0"/>
          <w:sz w:val="24"/>
          <w:szCs w:val="24"/>
        </w:rPr>
        <w:t xml:space="preserve">         联系电话：</w:t>
      </w:r>
      <w:r>
        <w:rPr>
          <w:rFonts w:hint="eastAsia" w:ascii="Times New Roman" w:hAnsi="Times New Roman"/>
          <w:kern w:val="0"/>
          <w:sz w:val="24"/>
          <w:szCs w:val="24"/>
        </w:rPr>
        <w:t>0731-85582045</w:t>
      </w:r>
      <w:r>
        <w:rPr>
          <w:rFonts w:ascii="Times New Roman" w:hAnsi="Times New Roman"/>
          <w:kern w:val="0"/>
          <w:sz w:val="24"/>
          <w:szCs w:val="24"/>
        </w:rPr>
        <w:t xml:space="preserve">         单位负责人签字</w:t>
      </w:r>
      <w:r>
        <w:rPr>
          <w:rFonts w:hint="eastAsia" w:ascii="Times New Roman" w:hAnsi="Times New Roman"/>
          <w:kern w:val="0"/>
          <w:sz w:val="24"/>
          <w:szCs w:val="24"/>
        </w:rPr>
        <w:t>：岳超</w:t>
      </w:r>
    </w:p>
    <w:p>
      <w:pPr>
        <w:spacing w:line="360" w:lineRule="exact"/>
        <w:rPr>
          <w:rFonts w:eastAsia="黑体"/>
          <w:szCs w:val="32"/>
        </w:rPr>
      </w:pPr>
      <w:r>
        <w:rPr>
          <w:rFonts w:eastAsia="黑体"/>
          <w:szCs w:val="32"/>
        </w:rPr>
        <w:t>附件</w:t>
      </w:r>
      <w:r>
        <w:rPr>
          <w:rFonts w:hint="eastAsia" w:eastAsia="黑体"/>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2020年度单位</w:t>
      </w:r>
      <w:r>
        <w:rPr>
          <w:rFonts w:eastAsia="方正小标宋_GBK"/>
          <w:color w:val="000000"/>
          <w:kern w:val="0"/>
          <w:sz w:val="36"/>
          <w:szCs w:val="36"/>
        </w:rPr>
        <w:t>整体支出绩效自评表</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1985"/>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shd w:val="clear" w:color="auto" w:fill="auto"/>
            <w:noWrap/>
            <w:vAlign w:val="center"/>
          </w:tcPr>
          <w:p>
            <w:pPr>
              <w:widowControl/>
              <w:jc w:val="left"/>
              <w:rPr>
                <w:color w:val="000000"/>
                <w:kern w:val="0"/>
                <w:sz w:val="24"/>
                <w:szCs w:val="24"/>
              </w:rPr>
            </w:pPr>
            <w:r>
              <w:rPr>
                <w:b/>
                <w:bCs/>
                <w:color w:val="000000"/>
                <w:kern w:val="0"/>
                <w:sz w:val="24"/>
                <w:szCs w:val="24"/>
              </w:rPr>
              <w:t>省级预算部门名称</w:t>
            </w:r>
            <w:r>
              <w:rPr>
                <w:color w:val="000000"/>
                <w:kern w:val="0"/>
                <w:sz w:val="24"/>
                <w:szCs w:val="24"/>
              </w:rPr>
              <w:t>　</w:t>
            </w:r>
          </w:p>
        </w:tc>
        <w:tc>
          <w:tcPr>
            <w:tcW w:w="7812" w:type="dxa"/>
            <w:gridSpan w:val="8"/>
            <w:tcBorders>
              <w:top w:val="single" w:color="auto" w:sz="12" w:space="0"/>
              <w:left w:val="single" w:color="auto" w:sz="4" w:space="0"/>
              <w:right w:val="single" w:color="auto" w:sz="12" w:space="0"/>
            </w:tcBorders>
            <w:shd w:val="clear" w:color="auto" w:fill="auto"/>
            <w:noWrap/>
            <w:vAlign w:val="center"/>
          </w:tcPr>
          <w:p>
            <w:pPr>
              <w:widowControl/>
              <w:jc w:val="center"/>
              <w:rPr>
                <w:color w:val="000000"/>
                <w:kern w:val="0"/>
                <w:sz w:val="24"/>
                <w:szCs w:val="24"/>
              </w:rPr>
            </w:pPr>
            <w:r>
              <w:rPr>
                <w:color w:val="000000"/>
                <w:kern w:val="0"/>
                <w:sz w:val="24"/>
                <w:szCs w:val="24"/>
              </w:rPr>
              <w:t>湖南省林木种子储备调剂中心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shd w:val="clear" w:color="auto" w:fill="auto"/>
            <w:noWrap/>
            <w:vAlign w:val="center"/>
          </w:tcPr>
          <w:p>
            <w:pPr>
              <w:widowControl/>
              <w:jc w:val="center"/>
              <w:rPr>
                <w:b/>
                <w:bCs/>
                <w:color w:val="000000"/>
                <w:kern w:val="0"/>
                <w:sz w:val="24"/>
                <w:szCs w:val="24"/>
              </w:rPr>
            </w:pPr>
            <w:r>
              <w:rPr>
                <w:b/>
                <w:bCs/>
                <w:color w:val="000000"/>
                <w:kern w:val="0"/>
                <w:sz w:val="24"/>
                <w:szCs w:val="24"/>
              </w:rPr>
              <w:t>年度预</w:t>
            </w:r>
          </w:p>
          <w:p>
            <w:pPr>
              <w:widowControl/>
              <w:jc w:val="center"/>
              <w:rPr>
                <w:b/>
                <w:bCs/>
                <w:color w:val="000000"/>
                <w:kern w:val="0"/>
                <w:sz w:val="24"/>
                <w:szCs w:val="24"/>
              </w:rPr>
            </w:pPr>
            <w:r>
              <w:rPr>
                <w:b/>
                <w:bCs/>
                <w:color w:val="000000"/>
                <w:kern w:val="0"/>
                <w:sz w:val="24"/>
                <w:szCs w:val="24"/>
              </w:rPr>
              <w:t>算申请</w:t>
            </w:r>
            <w:r>
              <w:rPr>
                <w:b/>
                <w:bCs/>
                <w:color w:val="000000"/>
                <w:kern w:val="0"/>
                <w:sz w:val="24"/>
                <w:szCs w:val="24"/>
              </w:rPr>
              <w:br w:type="textWrapping"/>
            </w:r>
            <w:r>
              <w:rPr>
                <w:b/>
                <w:bCs/>
                <w:color w:val="000000"/>
                <w:kern w:val="0"/>
                <w:sz w:val="21"/>
                <w:szCs w:val="21"/>
              </w:rPr>
              <w:t>（万元）</w:t>
            </w:r>
          </w:p>
        </w:tc>
        <w:tc>
          <w:tcPr>
            <w:tcW w:w="1727" w:type="dxa"/>
            <w:gridSpan w:val="3"/>
            <w:tcBorders>
              <w:left w:val="single" w:color="auto" w:sz="4" w:space="0"/>
              <w:right w:val="single" w:color="auto" w:sz="4" w:space="0"/>
            </w:tcBorders>
            <w:shd w:val="clear" w:color="auto" w:fill="auto"/>
            <w:noWrap/>
            <w:vAlign w:val="center"/>
          </w:tcPr>
          <w:p>
            <w:pPr>
              <w:spacing w:line="240" w:lineRule="exact"/>
              <w:jc w:val="center"/>
              <w:rPr>
                <w:b/>
                <w:bCs/>
                <w:sz w:val="24"/>
                <w:szCs w:val="24"/>
              </w:rPr>
            </w:pPr>
          </w:p>
        </w:tc>
        <w:tc>
          <w:tcPr>
            <w:tcW w:w="1985" w:type="dxa"/>
            <w:tcBorders>
              <w:left w:val="single" w:color="auto" w:sz="4" w:space="0"/>
              <w:right w:val="single" w:color="auto" w:sz="4" w:space="0"/>
            </w:tcBorders>
            <w:shd w:val="clear" w:color="auto" w:fill="auto"/>
            <w:noWrap/>
            <w:vAlign w:val="center"/>
          </w:tcPr>
          <w:p>
            <w:pPr>
              <w:spacing w:line="240" w:lineRule="exact"/>
              <w:jc w:val="center"/>
              <w:rPr>
                <w:b/>
                <w:bCs/>
                <w:sz w:val="24"/>
                <w:szCs w:val="24"/>
              </w:rPr>
            </w:pPr>
            <w:r>
              <w:rPr>
                <w:b/>
                <w:bCs/>
                <w:sz w:val="24"/>
                <w:szCs w:val="24"/>
              </w:rPr>
              <w:t>年初</w:t>
            </w:r>
          </w:p>
          <w:p>
            <w:pPr>
              <w:spacing w:line="240" w:lineRule="exact"/>
              <w:jc w:val="center"/>
              <w:rPr>
                <w:b/>
                <w:bCs/>
                <w:sz w:val="24"/>
                <w:szCs w:val="24"/>
              </w:rPr>
            </w:pPr>
            <w:r>
              <w:rPr>
                <w:b/>
                <w:bCs/>
                <w:sz w:val="24"/>
                <w:szCs w:val="24"/>
              </w:rPr>
              <w:t>预算数</w:t>
            </w:r>
          </w:p>
        </w:tc>
        <w:tc>
          <w:tcPr>
            <w:tcW w:w="1295" w:type="dxa"/>
            <w:gridSpan w:val="2"/>
            <w:tcBorders>
              <w:left w:val="single" w:color="auto" w:sz="4" w:space="0"/>
              <w:right w:val="single" w:color="auto" w:sz="4" w:space="0"/>
            </w:tcBorders>
            <w:shd w:val="clear" w:color="auto" w:fill="auto"/>
            <w:noWrap/>
            <w:vAlign w:val="center"/>
          </w:tcPr>
          <w:p>
            <w:pPr>
              <w:spacing w:line="240" w:lineRule="exact"/>
              <w:jc w:val="center"/>
              <w:rPr>
                <w:b/>
                <w:bCs/>
                <w:sz w:val="24"/>
                <w:szCs w:val="24"/>
              </w:rPr>
            </w:pPr>
            <w:r>
              <w:rPr>
                <w:b/>
                <w:bCs/>
                <w:sz w:val="24"/>
                <w:szCs w:val="24"/>
              </w:rPr>
              <w:t>全年预算数</w:t>
            </w:r>
          </w:p>
        </w:tc>
        <w:tc>
          <w:tcPr>
            <w:tcW w:w="1134" w:type="dxa"/>
            <w:tcBorders>
              <w:left w:val="single" w:color="auto" w:sz="4" w:space="0"/>
              <w:right w:val="single" w:color="auto" w:sz="4" w:space="0"/>
            </w:tcBorders>
            <w:shd w:val="clear" w:color="auto" w:fill="auto"/>
            <w:noWrap/>
            <w:vAlign w:val="center"/>
          </w:tcPr>
          <w:p>
            <w:pPr>
              <w:spacing w:line="240" w:lineRule="exact"/>
              <w:jc w:val="center"/>
              <w:rPr>
                <w:b/>
                <w:bCs/>
                <w:sz w:val="24"/>
                <w:szCs w:val="24"/>
              </w:rPr>
            </w:pPr>
            <w:r>
              <w:rPr>
                <w:b/>
                <w:bCs/>
                <w:sz w:val="24"/>
                <w:szCs w:val="24"/>
              </w:rPr>
              <w:t>全年</w:t>
            </w:r>
          </w:p>
          <w:p>
            <w:pPr>
              <w:spacing w:line="240" w:lineRule="exact"/>
              <w:jc w:val="center"/>
              <w:rPr>
                <w:b/>
                <w:bCs/>
                <w:sz w:val="24"/>
                <w:szCs w:val="24"/>
              </w:rPr>
            </w:pPr>
            <w:r>
              <w:rPr>
                <w:b/>
                <w:bCs/>
                <w:sz w:val="24"/>
                <w:szCs w:val="24"/>
              </w:rPr>
              <w:t>执行数</w:t>
            </w:r>
          </w:p>
        </w:tc>
        <w:tc>
          <w:tcPr>
            <w:tcW w:w="709" w:type="dxa"/>
            <w:tcBorders>
              <w:left w:val="single" w:color="auto" w:sz="4" w:space="0"/>
              <w:right w:val="single" w:color="auto" w:sz="4" w:space="0"/>
            </w:tcBorders>
            <w:shd w:val="clear" w:color="auto" w:fill="auto"/>
            <w:noWrap/>
            <w:vAlign w:val="center"/>
          </w:tcPr>
          <w:p>
            <w:pPr>
              <w:spacing w:line="240" w:lineRule="exact"/>
              <w:jc w:val="center"/>
              <w:rPr>
                <w:b/>
                <w:bCs/>
                <w:sz w:val="24"/>
                <w:szCs w:val="24"/>
              </w:rPr>
            </w:pPr>
            <w:r>
              <w:rPr>
                <w:b/>
                <w:bCs/>
                <w:sz w:val="24"/>
                <w:szCs w:val="24"/>
              </w:rPr>
              <w:t>分值</w:t>
            </w:r>
          </w:p>
        </w:tc>
        <w:tc>
          <w:tcPr>
            <w:tcW w:w="898" w:type="dxa"/>
            <w:tcBorders>
              <w:left w:val="single" w:color="auto" w:sz="4" w:space="0"/>
              <w:right w:val="single" w:color="auto" w:sz="4" w:space="0"/>
            </w:tcBorders>
            <w:shd w:val="clear" w:color="auto" w:fill="auto"/>
            <w:noWrap/>
            <w:vAlign w:val="center"/>
          </w:tcPr>
          <w:p>
            <w:pPr>
              <w:spacing w:line="240" w:lineRule="exact"/>
              <w:jc w:val="center"/>
              <w:rPr>
                <w:b/>
                <w:bCs/>
                <w:sz w:val="24"/>
                <w:szCs w:val="24"/>
              </w:rPr>
            </w:pPr>
            <w:r>
              <w:rPr>
                <w:b/>
                <w:bCs/>
                <w:sz w:val="24"/>
                <w:szCs w:val="24"/>
              </w:rPr>
              <w:t>执行率</w:t>
            </w:r>
          </w:p>
        </w:tc>
        <w:tc>
          <w:tcPr>
            <w:tcW w:w="1446" w:type="dxa"/>
            <w:tcBorders>
              <w:left w:val="single" w:color="auto" w:sz="4" w:space="0"/>
              <w:right w:val="single" w:color="auto" w:sz="12" w:space="0"/>
            </w:tcBorders>
            <w:shd w:val="clear" w:color="auto" w:fill="auto"/>
            <w:noWrap/>
            <w:vAlign w:val="center"/>
          </w:tcPr>
          <w:p>
            <w:pPr>
              <w:spacing w:line="240" w:lineRule="exact"/>
              <w:jc w:val="center"/>
              <w:rPr>
                <w:b/>
                <w:bCs/>
                <w:sz w:val="24"/>
                <w:szCs w:val="24"/>
              </w:rPr>
            </w:pPr>
            <w:r>
              <w:rPr>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center"/>
              <w:rPr>
                <w:b/>
                <w:bCs/>
                <w:color w:val="000000"/>
                <w:kern w:val="0"/>
                <w:sz w:val="24"/>
                <w:szCs w:val="24"/>
              </w:rPr>
            </w:pPr>
          </w:p>
        </w:tc>
        <w:tc>
          <w:tcPr>
            <w:tcW w:w="1727" w:type="dxa"/>
            <w:gridSpan w:val="3"/>
            <w:tcBorders>
              <w:left w:val="single" w:color="auto" w:sz="4" w:space="0"/>
              <w:right w:val="single" w:color="auto" w:sz="4" w:space="0"/>
            </w:tcBorders>
            <w:shd w:val="clear" w:color="auto" w:fill="auto"/>
            <w:noWrap/>
            <w:vAlign w:val="center"/>
          </w:tcPr>
          <w:p>
            <w:pPr>
              <w:jc w:val="center"/>
              <w:rPr>
                <w:sz w:val="24"/>
                <w:szCs w:val="24"/>
              </w:rPr>
            </w:pPr>
            <w:r>
              <w:rPr>
                <w:color w:val="000000"/>
                <w:kern w:val="0"/>
                <w:sz w:val="24"/>
                <w:szCs w:val="24"/>
              </w:rPr>
              <w:t>年度资金总额</w:t>
            </w:r>
          </w:p>
        </w:tc>
        <w:tc>
          <w:tcPr>
            <w:tcW w:w="1985" w:type="dxa"/>
            <w:tcBorders>
              <w:left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359.29万元</w:t>
            </w:r>
          </w:p>
        </w:tc>
        <w:tc>
          <w:tcPr>
            <w:tcW w:w="1295" w:type="dxa"/>
            <w:gridSpan w:val="2"/>
            <w:tcBorders>
              <w:left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406.89万元</w:t>
            </w:r>
          </w:p>
        </w:tc>
        <w:tc>
          <w:tcPr>
            <w:tcW w:w="1134" w:type="dxa"/>
            <w:tcBorders>
              <w:left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432.26万元</w:t>
            </w:r>
          </w:p>
        </w:tc>
        <w:tc>
          <w:tcPr>
            <w:tcW w:w="709" w:type="dxa"/>
            <w:tcBorders>
              <w:left w:val="single" w:color="auto" w:sz="4" w:space="0"/>
              <w:right w:val="single" w:color="auto" w:sz="4" w:space="0"/>
            </w:tcBorders>
            <w:shd w:val="clear" w:color="auto" w:fill="auto"/>
            <w:noWrap/>
            <w:vAlign w:val="center"/>
          </w:tcPr>
          <w:p>
            <w:pPr>
              <w:jc w:val="center"/>
              <w:rPr>
                <w:sz w:val="24"/>
                <w:szCs w:val="24"/>
              </w:rPr>
            </w:pPr>
            <w:r>
              <w:rPr>
                <w:sz w:val="24"/>
                <w:szCs w:val="24"/>
              </w:rPr>
              <w:t>10</w:t>
            </w:r>
          </w:p>
        </w:tc>
        <w:tc>
          <w:tcPr>
            <w:tcW w:w="898" w:type="dxa"/>
            <w:tcBorders>
              <w:left w:val="single" w:color="auto" w:sz="4" w:space="0"/>
              <w:right w:val="single" w:color="auto" w:sz="4" w:space="0"/>
            </w:tcBorders>
            <w:shd w:val="clear" w:color="auto" w:fill="auto"/>
            <w:noWrap/>
            <w:vAlign w:val="center"/>
          </w:tcPr>
          <w:p>
            <w:pPr>
              <w:jc w:val="center"/>
              <w:rPr>
                <w:sz w:val="24"/>
                <w:szCs w:val="24"/>
              </w:rPr>
            </w:pPr>
            <w:r>
              <w:rPr>
                <w:rFonts w:hint="eastAsia"/>
                <w:sz w:val="24"/>
                <w:szCs w:val="24"/>
              </w:rPr>
              <w:t>100%</w:t>
            </w:r>
          </w:p>
        </w:tc>
        <w:tc>
          <w:tcPr>
            <w:tcW w:w="1446" w:type="dxa"/>
            <w:tcBorders>
              <w:left w:val="single" w:color="auto" w:sz="4" w:space="0"/>
              <w:right w:val="single" w:color="auto" w:sz="12" w:space="0"/>
            </w:tcBorders>
            <w:shd w:val="clear" w:color="auto" w:fill="auto"/>
            <w:noWrap/>
            <w:vAlign w:val="center"/>
          </w:tcPr>
          <w:p>
            <w:pPr>
              <w:jc w:val="center"/>
              <w:rPr>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b/>
                <w:bCs/>
                <w:color w:val="000000"/>
                <w:kern w:val="0"/>
                <w:sz w:val="24"/>
                <w:szCs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按收入性质分：</w:t>
            </w:r>
          </w:p>
        </w:tc>
        <w:tc>
          <w:tcPr>
            <w:tcW w:w="4187" w:type="dxa"/>
            <w:gridSpan w:val="4"/>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b/>
                <w:bCs/>
                <w:color w:val="000000"/>
                <w:kern w:val="0"/>
                <w:sz w:val="24"/>
                <w:szCs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xml:space="preserve">  其中：  一般公共预算：</w:t>
            </w:r>
            <w:r>
              <w:rPr>
                <w:rFonts w:hint="eastAsia"/>
                <w:color w:val="000000"/>
                <w:kern w:val="0"/>
                <w:sz w:val="24"/>
                <w:szCs w:val="24"/>
              </w:rPr>
              <w:t>374.39</w:t>
            </w:r>
          </w:p>
        </w:tc>
        <w:tc>
          <w:tcPr>
            <w:tcW w:w="4187" w:type="dxa"/>
            <w:gridSpan w:val="4"/>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其中：基本支出：</w:t>
            </w:r>
            <w:r>
              <w:rPr>
                <w:rFonts w:hint="eastAsia"/>
                <w:color w:val="000000"/>
                <w:kern w:val="0"/>
                <w:sz w:val="24"/>
                <w:szCs w:val="24"/>
              </w:rPr>
              <w:t>417.26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b/>
                <w:bCs/>
                <w:color w:val="000000"/>
                <w:kern w:val="0"/>
                <w:sz w:val="24"/>
                <w:szCs w:val="24"/>
              </w:rPr>
            </w:pPr>
          </w:p>
        </w:tc>
        <w:tc>
          <w:tcPr>
            <w:tcW w:w="5007" w:type="dxa"/>
            <w:gridSpan w:val="6"/>
            <w:tcBorders>
              <w:left w:val="single" w:color="auto" w:sz="4" w:space="0"/>
              <w:right w:val="single" w:color="auto" w:sz="4" w:space="0"/>
            </w:tcBorders>
            <w:shd w:val="clear" w:color="auto" w:fill="auto"/>
            <w:noWrap/>
            <w:vAlign w:val="center"/>
          </w:tcPr>
          <w:p>
            <w:pPr>
              <w:widowControl/>
              <w:ind w:firstLine="960" w:firstLineChars="400"/>
              <w:jc w:val="left"/>
              <w:rPr>
                <w:color w:val="000000"/>
                <w:kern w:val="0"/>
                <w:sz w:val="24"/>
                <w:szCs w:val="24"/>
              </w:rPr>
            </w:pPr>
            <w:r>
              <w:rPr>
                <w:color w:val="000000"/>
                <w:kern w:val="0"/>
                <w:sz w:val="24"/>
                <w:szCs w:val="24"/>
              </w:rPr>
              <w:t>政府性基金拨款：</w:t>
            </w:r>
          </w:p>
        </w:tc>
        <w:tc>
          <w:tcPr>
            <w:tcW w:w="4187" w:type="dxa"/>
            <w:gridSpan w:val="4"/>
            <w:tcBorders>
              <w:left w:val="single" w:color="auto" w:sz="4" w:space="0"/>
              <w:right w:val="single" w:color="auto" w:sz="12" w:space="0"/>
            </w:tcBorders>
            <w:shd w:val="clear" w:color="auto" w:fill="auto"/>
            <w:noWrap/>
            <w:vAlign w:val="center"/>
          </w:tcPr>
          <w:p>
            <w:pPr>
              <w:widowControl/>
              <w:ind w:firstLine="720" w:firstLineChars="300"/>
              <w:jc w:val="left"/>
              <w:rPr>
                <w:color w:val="000000"/>
                <w:kern w:val="0"/>
                <w:sz w:val="24"/>
                <w:szCs w:val="24"/>
              </w:rPr>
            </w:pPr>
            <w:r>
              <w:rPr>
                <w:color w:val="000000"/>
                <w:kern w:val="0"/>
                <w:sz w:val="24"/>
                <w:szCs w:val="24"/>
              </w:rPr>
              <w:t>项目支出：</w:t>
            </w:r>
            <w:r>
              <w:rPr>
                <w:rFonts w:hint="eastAsia"/>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b/>
                <w:bCs/>
                <w:color w:val="000000"/>
                <w:kern w:val="0"/>
                <w:sz w:val="24"/>
                <w:szCs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纳入专户管理的非税收入拨款：</w:t>
            </w:r>
          </w:p>
        </w:tc>
        <w:tc>
          <w:tcPr>
            <w:tcW w:w="4187" w:type="dxa"/>
            <w:gridSpan w:val="4"/>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b/>
                <w:bCs/>
                <w:color w:val="000000"/>
                <w:kern w:val="0"/>
                <w:sz w:val="24"/>
                <w:szCs w:val="24"/>
              </w:rPr>
            </w:pPr>
          </w:p>
        </w:tc>
        <w:tc>
          <w:tcPr>
            <w:tcW w:w="5007" w:type="dxa"/>
            <w:gridSpan w:val="6"/>
            <w:tcBorders>
              <w:left w:val="single" w:color="auto" w:sz="4" w:space="0"/>
              <w:right w:val="single" w:color="auto" w:sz="4" w:space="0"/>
            </w:tcBorders>
            <w:shd w:val="clear" w:color="auto" w:fill="auto"/>
            <w:noWrap/>
            <w:vAlign w:val="center"/>
          </w:tcPr>
          <w:p>
            <w:pPr>
              <w:widowControl/>
              <w:ind w:firstLine="1680" w:firstLineChars="700"/>
              <w:jc w:val="left"/>
              <w:rPr>
                <w:color w:val="000000"/>
                <w:kern w:val="0"/>
                <w:sz w:val="24"/>
                <w:szCs w:val="24"/>
              </w:rPr>
            </w:pPr>
            <w:r>
              <w:rPr>
                <w:color w:val="000000"/>
                <w:kern w:val="0"/>
                <w:sz w:val="24"/>
                <w:szCs w:val="24"/>
              </w:rPr>
              <w:t>其他资金：</w:t>
            </w:r>
            <w:r>
              <w:rPr>
                <w:rFonts w:hint="eastAsia"/>
                <w:color w:val="000000"/>
                <w:kern w:val="0"/>
                <w:sz w:val="24"/>
                <w:szCs w:val="24"/>
              </w:rPr>
              <w:t>32.50</w:t>
            </w:r>
          </w:p>
        </w:tc>
        <w:tc>
          <w:tcPr>
            <w:tcW w:w="4187" w:type="dxa"/>
            <w:gridSpan w:val="4"/>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shd w:val="clear" w:color="auto" w:fill="auto"/>
            <w:noWrap/>
            <w:vAlign w:val="center"/>
          </w:tcPr>
          <w:p>
            <w:pPr>
              <w:widowControl/>
              <w:jc w:val="center"/>
              <w:rPr>
                <w:b/>
                <w:bCs/>
                <w:color w:val="000000"/>
                <w:kern w:val="0"/>
                <w:sz w:val="24"/>
                <w:szCs w:val="24"/>
              </w:rPr>
            </w:pPr>
            <w:r>
              <w:rPr>
                <w:b/>
                <w:bCs/>
                <w:color w:val="000000"/>
                <w:kern w:val="0"/>
                <w:sz w:val="24"/>
                <w:szCs w:val="24"/>
              </w:rPr>
              <w:t>年度总目标</w:t>
            </w:r>
          </w:p>
        </w:tc>
        <w:tc>
          <w:tcPr>
            <w:tcW w:w="5007" w:type="dxa"/>
            <w:gridSpan w:val="6"/>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预期目标</w:t>
            </w:r>
          </w:p>
        </w:tc>
        <w:tc>
          <w:tcPr>
            <w:tcW w:w="4187" w:type="dxa"/>
            <w:gridSpan w:val="4"/>
            <w:tcBorders>
              <w:left w:val="single" w:color="auto" w:sz="4" w:space="0"/>
              <w:right w:val="single" w:color="auto" w:sz="12" w:space="0"/>
            </w:tcBorders>
            <w:shd w:val="clear" w:color="auto" w:fill="auto"/>
            <w:noWrap/>
            <w:vAlign w:val="center"/>
          </w:tcPr>
          <w:p>
            <w:pPr>
              <w:widowControl/>
              <w:jc w:val="center"/>
              <w:rPr>
                <w:color w:val="000000"/>
                <w:kern w:val="0"/>
                <w:sz w:val="24"/>
                <w:szCs w:val="24"/>
              </w:rPr>
            </w:pPr>
            <w:r>
              <w:rPr>
                <w:color w:val="000000"/>
                <w:kern w:val="0"/>
                <w:sz w:val="24"/>
                <w:szCs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color w:val="000000"/>
                <w:kern w:val="0"/>
                <w:sz w:val="24"/>
                <w:szCs w:val="24"/>
              </w:rPr>
            </w:pPr>
          </w:p>
        </w:tc>
        <w:tc>
          <w:tcPr>
            <w:tcW w:w="5007" w:type="dxa"/>
            <w:gridSpan w:val="6"/>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2020年</w:t>
            </w:r>
            <w:r>
              <w:rPr>
                <w:rFonts w:ascii="仿宋" w:hAnsi="仿宋" w:eastAsia="仿宋" w:cs="仿宋"/>
                <w:color w:val="000000"/>
                <w:kern w:val="0"/>
                <w:sz w:val="24"/>
                <w:szCs w:val="24"/>
              </w:rPr>
              <w:t>调剂入库种子质量17个种批，136个批次样品，共入库种子2851.2公斤，出库种子2250公斤，对506公斤不合格种子及时进行了处理，确保调剂发放的种子质量合格率达100%。严把种苗质量关，确保造林用种安全。严格执行质量检验程序，从源头上杜绝了假冒伪劣种子进入市场，对不合格种子及时进行了处理，保障了全省造林的质量和水平。</w:t>
            </w:r>
          </w:p>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4187" w:type="dxa"/>
            <w:gridSpan w:val="4"/>
            <w:tcBorders>
              <w:left w:val="single" w:color="auto" w:sz="4" w:space="0"/>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2020年</w:t>
            </w:r>
            <w:r>
              <w:rPr>
                <w:rFonts w:ascii="仿宋" w:hAnsi="仿宋" w:eastAsia="仿宋" w:cs="仿宋"/>
                <w:color w:val="000000"/>
                <w:kern w:val="0"/>
                <w:sz w:val="24"/>
                <w:szCs w:val="24"/>
              </w:rPr>
              <w:t>调剂入库种子质量17个种批，136个批次样品，共入库种子2851.2公斤，出库种子2250公斤，对506公斤不合格种子及时进行了处理，确保调剂发放的种子质量合格率达100%。严把种苗质量关，确保造林用种安全。严格执行质量检验程序，从源头上杜绝了假冒伪劣种子进入市场，对不合格种子及时进行了处理，保障了全省造林的质量和水平。</w:t>
            </w:r>
          </w:p>
          <w:p>
            <w:pPr>
              <w:widowControl/>
              <w:jc w:val="lef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shd w:val="clear" w:color="auto" w:fill="auto"/>
            <w:noWrap/>
            <w:vAlign w:val="center"/>
          </w:tcPr>
          <w:p>
            <w:pPr>
              <w:widowControl/>
              <w:jc w:val="center"/>
              <w:rPr>
                <w:b/>
                <w:bCs/>
                <w:color w:val="000000"/>
                <w:kern w:val="0"/>
                <w:sz w:val="24"/>
                <w:szCs w:val="24"/>
              </w:rPr>
            </w:pPr>
            <w:r>
              <w:rPr>
                <w:b/>
                <w:bCs/>
                <w:color w:val="000000"/>
                <w:kern w:val="0"/>
                <w:sz w:val="24"/>
                <w:szCs w:val="24"/>
              </w:rPr>
              <w:t>绩</w:t>
            </w:r>
          </w:p>
          <w:p>
            <w:pPr>
              <w:widowControl/>
              <w:jc w:val="center"/>
              <w:rPr>
                <w:b/>
                <w:bCs/>
                <w:color w:val="000000"/>
                <w:kern w:val="0"/>
                <w:sz w:val="24"/>
                <w:szCs w:val="24"/>
              </w:rPr>
            </w:pPr>
            <w:r>
              <w:rPr>
                <w:b/>
                <w:bCs/>
                <w:color w:val="000000"/>
                <w:kern w:val="0"/>
                <w:sz w:val="24"/>
                <w:szCs w:val="24"/>
              </w:rPr>
              <w:t>效</w:t>
            </w:r>
          </w:p>
          <w:p>
            <w:pPr>
              <w:widowControl/>
              <w:jc w:val="center"/>
              <w:rPr>
                <w:b/>
                <w:bCs/>
                <w:color w:val="000000"/>
                <w:kern w:val="0"/>
                <w:sz w:val="24"/>
                <w:szCs w:val="24"/>
              </w:rPr>
            </w:pPr>
            <w:r>
              <w:rPr>
                <w:b/>
                <w:bCs/>
                <w:color w:val="000000"/>
                <w:kern w:val="0"/>
                <w:sz w:val="24"/>
                <w:szCs w:val="24"/>
              </w:rPr>
              <w:t>指</w:t>
            </w:r>
          </w:p>
          <w:p>
            <w:pPr>
              <w:widowControl/>
              <w:jc w:val="center"/>
              <w:rPr>
                <w:color w:val="000000"/>
                <w:kern w:val="0"/>
                <w:sz w:val="24"/>
                <w:szCs w:val="24"/>
              </w:rPr>
            </w:pPr>
            <w:r>
              <w:rPr>
                <w:b/>
                <w:bCs/>
                <w:color w:val="000000"/>
                <w:kern w:val="0"/>
                <w:sz w:val="24"/>
                <w:szCs w:val="24"/>
              </w:rPr>
              <w:t>标</w:t>
            </w:r>
          </w:p>
        </w:tc>
        <w:tc>
          <w:tcPr>
            <w:tcW w:w="700" w:type="dxa"/>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4"/>
                <w:szCs w:val="24"/>
              </w:rPr>
            </w:pPr>
            <w:r>
              <w:rPr>
                <w:color w:val="000000"/>
                <w:kern w:val="0"/>
                <w:sz w:val="24"/>
                <w:szCs w:val="24"/>
              </w:rPr>
              <w:t>一级指标</w:t>
            </w:r>
          </w:p>
        </w:tc>
        <w:tc>
          <w:tcPr>
            <w:tcW w:w="1027" w:type="dxa"/>
            <w:gridSpan w:val="2"/>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4"/>
                <w:szCs w:val="24"/>
              </w:rPr>
            </w:pPr>
            <w:r>
              <w:rPr>
                <w:color w:val="000000"/>
                <w:kern w:val="0"/>
                <w:sz w:val="24"/>
                <w:szCs w:val="24"/>
              </w:rPr>
              <w:t>二级指标</w:t>
            </w:r>
          </w:p>
        </w:tc>
        <w:tc>
          <w:tcPr>
            <w:tcW w:w="2080" w:type="dxa"/>
            <w:gridSpan w:val="2"/>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4"/>
                <w:szCs w:val="24"/>
              </w:rPr>
            </w:pPr>
            <w:r>
              <w:rPr>
                <w:color w:val="000000"/>
                <w:kern w:val="0"/>
                <w:sz w:val="24"/>
                <w:szCs w:val="24"/>
              </w:rPr>
              <w:t>三级指标</w:t>
            </w:r>
          </w:p>
        </w:tc>
        <w:tc>
          <w:tcPr>
            <w:tcW w:w="1200" w:type="dxa"/>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4"/>
                <w:szCs w:val="24"/>
              </w:rPr>
            </w:pPr>
            <w:r>
              <w:rPr>
                <w:color w:val="000000"/>
                <w:kern w:val="0"/>
                <w:sz w:val="24"/>
                <w:szCs w:val="24"/>
              </w:rPr>
              <w:t>年度</w:t>
            </w:r>
          </w:p>
          <w:p>
            <w:pPr>
              <w:widowControl/>
              <w:spacing w:line="240" w:lineRule="exact"/>
              <w:jc w:val="center"/>
              <w:rPr>
                <w:color w:val="000000"/>
                <w:kern w:val="0"/>
                <w:sz w:val="24"/>
                <w:szCs w:val="24"/>
              </w:rPr>
            </w:pPr>
            <w:r>
              <w:rPr>
                <w:color w:val="000000"/>
                <w:kern w:val="0"/>
                <w:sz w:val="24"/>
                <w:szCs w:val="24"/>
              </w:rPr>
              <w:t>指标值</w:t>
            </w:r>
          </w:p>
        </w:tc>
        <w:tc>
          <w:tcPr>
            <w:tcW w:w="1134" w:type="dxa"/>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4"/>
                <w:szCs w:val="24"/>
              </w:rPr>
            </w:pPr>
            <w:r>
              <w:rPr>
                <w:color w:val="000000"/>
                <w:kern w:val="0"/>
                <w:sz w:val="24"/>
                <w:szCs w:val="24"/>
              </w:rPr>
              <w:t>实际</w:t>
            </w:r>
          </w:p>
          <w:p>
            <w:pPr>
              <w:widowControl/>
              <w:spacing w:line="240" w:lineRule="exact"/>
              <w:jc w:val="center"/>
              <w:rPr>
                <w:color w:val="000000"/>
                <w:kern w:val="0"/>
                <w:sz w:val="24"/>
                <w:szCs w:val="24"/>
              </w:rPr>
            </w:pPr>
            <w:r>
              <w:rPr>
                <w:color w:val="000000"/>
                <w:kern w:val="0"/>
                <w:sz w:val="24"/>
                <w:szCs w:val="24"/>
              </w:rPr>
              <w:t>完成值</w:t>
            </w:r>
          </w:p>
        </w:tc>
        <w:tc>
          <w:tcPr>
            <w:tcW w:w="709" w:type="dxa"/>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4"/>
                <w:szCs w:val="24"/>
              </w:rPr>
            </w:pPr>
            <w:r>
              <w:rPr>
                <w:color w:val="000000"/>
                <w:kern w:val="0"/>
                <w:sz w:val="24"/>
                <w:szCs w:val="24"/>
              </w:rPr>
              <w:t>分值</w:t>
            </w:r>
          </w:p>
        </w:tc>
        <w:tc>
          <w:tcPr>
            <w:tcW w:w="898" w:type="dxa"/>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4"/>
                <w:szCs w:val="24"/>
              </w:rPr>
            </w:pPr>
            <w:r>
              <w:rPr>
                <w:color w:val="000000"/>
                <w:kern w:val="0"/>
                <w:sz w:val="24"/>
                <w:szCs w:val="24"/>
              </w:rPr>
              <w:t>得分</w:t>
            </w:r>
          </w:p>
        </w:tc>
        <w:tc>
          <w:tcPr>
            <w:tcW w:w="1446" w:type="dxa"/>
            <w:tcBorders>
              <w:left w:val="single" w:color="auto" w:sz="4" w:space="0"/>
              <w:right w:val="single" w:color="auto" w:sz="12" w:space="0"/>
            </w:tcBorders>
            <w:shd w:val="clear" w:color="auto" w:fill="auto"/>
            <w:noWrap/>
          </w:tcPr>
          <w:p>
            <w:pPr>
              <w:widowControl/>
              <w:spacing w:line="240" w:lineRule="exact"/>
              <w:jc w:val="center"/>
              <w:rPr>
                <w:color w:val="000000"/>
                <w:kern w:val="0"/>
                <w:sz w:val="24"/>
                <w:szCs w:val="24"/>
              </w:rPr>
            </w:pPr>
            <w:r>
              <w:rPr>
                <w:color w:val="000000"/>
                <w:kern w:val="0"/>
                <w:sz w:val="24"/>
                <w:szCs w:val="24"/>
              </w:rPr>
              <w:t>偏差原因及</w:t>
            </w:r>
          </w:p>
          <w:p>
            <w:pPr>
              <w:widowControl/>
              <w:spacing w:line="240" w:lineRule="exact"/>
              <w:jc w:val="center"/>
              <w:rPr>
                <w:color w:val="000000"/>
                <w:kern w:val="0"/>
                <w:sz w:val="24"/>
                <w:szCs w:val="24"/>
              </w:rPr>
            </w:pPr>
            <w:r>
              <w:rPr>
                <w:color w:val="000000"/>
                <w:kern w:val="0"/>
                <w:sz w:val="24"/>
                <w:szCs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产出指标</w:t>
            </w:r>
          </w:p>
          <w:p>
            <w:pPr>
              <w:widowControl/>
              <w:jc w:val="center"/>
              <w:rPr>
                <w:color w:val="000000"/>
                <w:kern w:val="0"/>
                <w:sz w:val="24"/>
                <w:szCs w:val="24"/>
              </w:rPr>
            </w:pPr>
            <w:r>
              <w:rPr>
                <w:color w:val="000000"/>
                <w:kern w:val="0"/>
                <w:sz w:val="24"/>
                <w:szCs w:val="24"/>
              </w:rPr>
              <w:t>(50分)</w:t>
            </w:r>
          </w:p>
        </w:tc>
        <w:tc>
          <w:tcPr>
            <w:tcW w:w="1027" w:type="dxa"/>
            <w:gridSpan w:val="2"/>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数量</w:t>
            </w:r>
          </w:p>
          <w:p>
            <w:pPr>
              <w:widowControl/>
              <w:jc w:val="center"/>
              <w:rPr>
                <w:color w:val="000000"/>
                <w:kern w:val="0"/>
                <w:sz w:val="24"/>
                <w:szCs w:val="24"/>
              </w:rPr>
            </w:pPr>
            <w:r>
              <w:rPr>
                <w:color w:val="000000"/>
                <w:kern w:val="0"/>
                <w:sz w:val="24"/>
                <w:szCs w:val="24"/>
              </w:rPr>
              <w:t>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种子发放数量</w:t>
            </w:r>
          </w:p>
        </w:tc>
        <w:tc>
          <w:tcPr>
            <w:tcW w:w="1200"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2800公斤</w:t>
            </w:r>
          </w:p>
        </w:tc>
        <w:tc>
          <w:tcPr>
            <w:tcW w:w="1134"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2851.2公斤</w:t>
            </w:r>
          </w:p>
        </w:tc>
        <w:tc>
          <w:tcPr>
            <w:tcW w:w="709"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10</w:t>
            </w:r>
          </w:p>
        </w:tc>
        <w:tc>
          <w:tcPr>
            <w:tcW w:w="898"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p>
        </w:tc>
        <w:tc>
          <w:tcPr>
            <w:tcW w:w="1446" w:type="dxa"/>
            <w:tcBorders>
              <w:left w:val="single" w:color="auto" w:sz="4" w:space="0"/>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质量</w:t>
            </w:r>
          </w:p>
          <w:p>
            <w:pPr>
              <w:widowControl/>
              <w:jc w:val="center"/>
              <w:rPr>
                <w:color w:val="000000"/>
                <w:kern w:val="0"/>
                <w:sz w:val="24"/>
                <w:szCs w:val="24"/>
              </w:rPr>
            </w:pPr>
            <w:r>
              <w:rPr>
                <w:color w:val="000000"/>
                <w:kern w:val="0"/>
                <w:sz w:val="24"/>
                <w:szCs w:val="24"/>
              </w:rPr>
              <w:t>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时效</w:t>
            </w:r>
          </w:p>
          <w:p>
            <w:pPr>
              <w:widowControl/>
              <w:jc w:val="center"/>
              <w:rPr>
                <w:color w:val="000000"/>
                <w:kern w:val="0"/>
                <w:sz w:val="24"/>
                <w:szCs w:val="24"/>
              </w:rPr>
            </w:pPr>
            <w:r>
              <w:rPr>
                <w:color w:val="000000"/>
                <w:kern w:val="0"/>
                <w:sz w:val="24"/>
                <w:szCs w:val="24"/>
              </w:rPr>
              <w:t>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预算执行率</w:t>
            </w:r>
          </w:p>
        </w:tc>
        <w:tc>
          <w:tcPr>
            <w:tcW w:w="1200"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100%</w:t>
            </w:r>
          </w:p>
        </w:tc>
        <w:tc>
          <w:tcPr>
            <w:tcW w:w="1134"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709"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成本</w:t>
            </w:r>
          </w:p>
          <w:p>
            <w:pPr>
              <w:widowControl/>
              <w:jc w:val="center"/>
              <w:rPr>
                <w:color w:val="000000"/>
                <w:kern w:val="0"/>
                <w:sz w:val="24"/>
                <w:szCs w:val="24"/>
              </w:rPr>
            </w:pPr>
            <w:r>
              <w:rPr>
                <w:color w:val="000000"/>
                <w:kern w:val="0"/>
                <w:sz w:val="24"/>
                <w:szCs w:val="24"/>
              </w:rPr>
              <w:t>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年度预算数</w:t>
            </w:r>
          </w:p>
        </w:tc>
        <w:tc>
          <w:tcPr>
            <w:tcW w:w="1200"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433.33</w:t>
            </w:r>
            <w:r>
              <w:rPr>
                <w:rFonts w:ascii="仿宋" w:hAnsi="仿宋" w:eastAsia="仿宋" w:cs="仿宋"/>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432.26</w:t>
            </w:r>
          </w:p>
        </w:tc>
        <w:tc>
          <w:tcPr>
            <w:tcW w:w="709"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ascii="仿宋" w:hAnsi="仿宋" w:eastAsia="仿宋" w:cs="仿宋"/>
                <w:color w:val="000000"/>
                <w:kern w:val="0"/>
                <w:sz w:val="24"/>
                <w:szCs w:val="24"/>
              </w:rPr>
              <w:t>　加快资金使用进度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效益指标</w:t>
            </w:r>
            <w:r>
              <w:rPr>
                <w:color w:val="000000"/>
                <w:kern w:val="0"/>
                <w:sz w:val="18"/>
                <w:szCs w:val="18"/>
              </w:rPr>
              <w:t>（30分）</w:t>
            </w:r>
            <w:r>
              <w:rPr>
                <w:color w:val="000000"/>
                <w:kern w:val="0"/>
                <w:sz w:val="24"/>
                <w:szCs w:val="24"/>
              </w:rPr>
              <w:t>　</w:t>
            </w: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经济效</w:t>
            </w:r>
          </w:p>
          <w:p>
            <w:pPr>
              <w:widowControl/>
              <w:jc w:val="center"/>
              <w:rPr>
                <w:color w:val="000000"/>
                <w:kern w:val="0"/>
                <w:sz w:val="24"/>
                <w:szCs w:val="24"/>
              </w:rPr>
            </w:pPr>
            <w:r>
              <w:rPr>
                <w:color w:val="000000"/>
                <w:kern w:val="0"/>
                <w:sz w:val="24"/>
                <w:szCs w:val="24"/>
              </w:rPr>
              <w:t>益指标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w:t>
            </w: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社会效</w:t>
            </w:r>
          </w:p>
          <w:p>
            <w:pPr>
              <w:widowControl/>
              <w:jc w:val="center"/>
              <w:rPr>
                <w:color w:val="000000"/>
                <w:kern w:val="0"/>
                <w:sz w:val="24"/>
                <w:szCs w:val="24"/>
              </w:rPr>
            </w:pPr>
            <w:r>
              <w:rPr>
                <w:color w:val="000000"/>
                <w:kern w:val="0"/>
                <w:sz w:val="24"/>
                <w:szCs w:val="24"/>
              </w:rPr>
              <w:t>益指标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w:t>
            </w: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生态效</w:t>
            </w:r>
          </w:p>
          <w:p>
            <w:pPr>
              <w:widowControl/>
              <w:jc w:val="center"/>
              <w:rPr>
                <w:color w:val="000000"/>
                <w:kern w:val="0"/>
                <w:sz w:val="24"/>
                <w:szCs w:val="24"/>
              </w:rPr>
            </w:pPr>
            <w:r>
              <w:rPr>
                <w:color w:val="000000"/>
                <w:kern w:val="0"/>
                <w:sz w:val="24"/>
                <w:szCs w:val="24"/>
              </w:rPr>
              <w:t>益指标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1" w:type="dxa"/>
            <w:vMerge w:val="continue"/>
            <w:tcBorders>
              <w:left w:val="single" w:color="auto" w:sz="12" w:space="0"/>
              <w:right w:val="single" w:color="auto" w:sz="4" w:space="0"/>
            </w:tcBorders>
            <w:shd w:val="clear" w:color="auto" w:fill="auto"/>
            <w:noWrap/>
            <w:vAlign w:val="center"/>
          </w:tcPr>
          <w:p>
            <w:pPr>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w:t>
            </w: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center"/>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1"/>
                <w:szCs w:val="21"/>
              </w:rPr>
              <w:t>可持续影响指标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1" w:type="dxa"/>
            <w:vMerge w:val="continue"/>
            <w:tcBorders>
              <w:left w:val="single" w:color="auto" w:sz="12" w:space="0"/>
              <w:right w:val="single" w:color="auto" w:sz="4" w:space="0"/>
            </w:tcBorders>
            <w:shd w:val="clear" w:color="auto" w:fill="auto"/>
            <w:noWrap/>
            <w:vAlign w:val="center"/>
          </w:tcPr>
          <w:p>
            <w:pPr>
              <w:jc w:val="left"/>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w:t>
            </w: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shd w:val="clear" w:color="auto" w:fill="auto"/>
            <w:noWrap/>
            <w:vAlign w:val="center"/>
          </w:tcPr>
          <w:p>
            <w:pPr>
              <w:jc w:val="left"/>
              <w:rPr>
                <w:color w:val="000000"/>
                <w:kern w:val="0"/>
                <w:sz w:val="24"/>
                <w:szCs w:val="24"/>
              </w:rPr>
            </w:pPr>
          </w:p>
        </w:tc>
        <w:tc>
          <w:tcPr>
            <w:tcW w:w="700" w:type="dxa"/>
            <w:vMerge w:val="restart"/>
            <w:tcBorders>
              <w:left w:val="single" w:color="auto" w:sz="4" w:space="0"/>
              <w:right w:val="single" w:color="auto" w:sz="4" w:space="0"/>
            </w:tcBorders>
            <w:shd w:val="clear" w:color="auto" w:fill="auto"/>
            <w:noWrap/>
            <w:vAlign w:val="center"/>
          </w:tcPr>
          <w:p>
            <w:pPr>
              <w:widowControl/>
              <w:jc w:val="center"/>
              <w:rPr>
                <w:color w:val="000000"/>
                <w:kern w:val="0"/>
                <w:sz w:val="21"/>
                <w:szCs w:val="21"/>
              </w:rPr>
            </w:pPr>
            <w:r>
              <w:rPr>
                <w:color w:val="000000"/>
                <w:kern w:val="0"/>
                <w:sz w:val="21"/>
                <w:szCs w:val="21"/>
              </w:rPr>
              <w:t>满意度</w:t>
            </w:r>
          </w:p>
          <w:p>
            <w:pPr>
              <w:widowControl/>
              <w:jc w:val="center"/>
              <w:rPr>
                <w:color w:val="000000"/>
                <w:kern w:val="0"/>
                <w:sz w:val="21"/>
                <w:szCs w:val="21"/>
              </w:rPr>
            </w:pPr>
            <w:r>
              <w:rPr>
                <w:color w:val="000000"/>
                <w:kern w:val="0"/>
                <w:sz w:val="21"/>
                <w:szCs w:val="21"/>
              </w:rPr>
              <w:t>指标</w:t>
            </w:r>
          </w:p>
          <w:p>
            <w:pPr>
              <w:widowControl/>
              <w:jc w:val="center"/>
              <w:rPr>
                <w:color w:val="000000"/>
                <w:kern w:val="0"/>
                <w:sz w:val="24"/>
                <w:szCs w:val="24"/>
              </w:rPr>
            </w:pPr>
            <w:r>
              <w:rPr>
                <w:color w:val="000000"/>
                <w:kern w:val="0"/>
                <w:sz w:val="21"/>
                <w:szCs w:val="21"/>
              </w:rPr>
              <w:t>（10分）</w:t>
            </w:r>
          </w:p>
        </w:tc>
        <w:tc>
          <w:tcPr>
            <w:tcW w:w="1027" w:type="dxa"/>
            <w:gridSpan w:val="2"/>
            <w:vMerge w:val="restart"/>
            <w:tcBorders>
              <w:left w:val="single" w:color="auto" w:sz="4"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服务对象满意度指标</w:t>
            </w: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1" w:type="dxa"/>
            <w:vMerge w:val="continue"/>
            <w:tcBorders>
              <w:left w:val="single" w:color="auto" w:sz="12" w:space="0"/>
              <w:right w:val="single" w:color="auto" w:sz="4" w:space="0"/>
            </w:tcBorders>
            <w:shd w:val="clear" w:color="auto" w:fill="auto"/>
            <w:noWrap/>
            <w:vAlign w:val="center"/>
          </w:tcPr>
          <w:p>
            <w:pPr>
              <w:widowControl/>
              <w:jc w:val="left"/>
              <w:rPr>
                <w:color w:val="000000"/>
                <w:kern w:val="0"/>
                <w:sz w:val="24"/>
                <w:szCs w:val="24"/>
              </w:rPr>
            </w:pPr>
          </w:p>
        </w:tc>
        <w:tc>
          <w:tcPr>
            <w:tcW w:w="700" w:type="dxa"/>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1027" w:type="dxa"/>
            <w:gridSpan w:val="2"/>
            <w:vMerge w:val="continue"/>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p>
        </w:tc>
        <w:tc>
          <w:tcPr>
            <w:tcW w:w="2080" w:type="dxa"/>
            <w:gridSpan w:val="2"/>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w:t>
            </w:r>
          </w:p>
        </w:tc>
        <w:tc>
          <w:tcPr>
            <w:tcW w:w="1200"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134"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709"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898" w:type="dxa"/>
            <w:tcBorders>
              <w:left w:val="single" w:color="auto" w:sz="4"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总分</w:t>
            </w:r>
          </w:p>
        </w:tc>
        <w:tc>
          <w:tcPr>
            <w:tcW w:w="709" w:type="dxa"/>
            <w:tcBorders>
              <w:left w:val="single" w:color="auto" w:sz="4" w:space="0"/>
              <w:bottom w:val="single" w:color="auto" w:sz="12" w:space="0"/>
              <w:right w:val="single" w:color="auto" w:sz="4" w:space="0"/>
            </w:tcBorders>
            <w:shd w:val="clear" w:color="auto" w:fill="auto"/>
            <w:noWrap/>
            <w:vAlign w:val="center"/>
          </w:tcPr>
          <w:p>
            <w:pPr>
              <w:widowControl/>
              <w:jc w:val="center"/>
              <w:rPr>
                <w:color w:val="000000"/>
                <w:kern w:val="0"/>
                <w:sz w:val="24"/>
                <w:szCs w:val="24"/>
              </w:rPr>
            </w:pPr>
            <w:r>
              <w:rPr>
                <w:color w:val="000000"/>
                <w:kern w:val="0"/>
                <w:sz w:val="24"/>
                <w:szCs w:val="24"/>
              </w:rPr>
              <w:t>100</w:t>
            </w:r>
          </w:p>
        </w:tc>
        <w:tc>
          <w:tcPr>
            <w:tcW w:w="898" w:type="dxa"/>
            <w:tcBorders>
              <w:left w:val="single" w:color="auto" w:sz="4" w:space="0"/>
              <w:bottom w:val="single" w:color="auto" w:sz="12" w:space="0"/>
              <w:right w:val="single" w:color="auto" w:sz="4" w:space="0"/>
            </w:tcBorders>
            <w:shd w:val="clear" w:color="auto" w:fill="auto"/>
            <w:noWrap/>
            <w:vAlign w:val="center"/>
          </w:tcPr>
          <w:p>
            <w:pPr>
              <w:widowControl/>
              <w:jc w:val="left"/>
              <w:rPr>
                <w:color w:val="000000"/>
                <w:kern w:val="0"/>
                <w:sz w:val="24"/>
                <w:szCs w:val="24"/>
              </w:rPr>
            </w:pPr>
            <w:r>
              <w:rPr>
                <w:color w:val="000000"/>
                <w:kern w:val="0"/>
                <w:sz w:val="24"/>
                <w:szCs w:val="24"/>
              </w:rPr>
              <w:t>　</w:t>
            </w:r>
          </w:p>
        </w:tc>
        <w:tc>
          <w:tcPr>
            <w:tcW w:w="1446" w:type="dxa"/>
            <w:tcBorders>
              <w:left w:val="single" w:color="auto" w:sz="4" w:space="0"/>
              <w:bottom w:val="single" w:color="auto" w:sz="12" w:space="0"/>
              <w:right w:val="single" w:color="auto" w:sz="12" w:space="0"/>
            </w:tcBorders>
            <w:shd w:val="clear" w:color="auto" w:fill="auto"/>
            <w:noWrap/>
            <w:vAlign w:val="center"/>
          </w:tcPr>
          <w:p>
            <w:pPr>
              <w:widowControl/>
              <w:jc w:val="left"/>
              <w:rPr>
                <w:color w:val="000000"/>
                <w:kern w:val="0"/>
                <w:sz w:val="24"/>
                <w:szCs w:val="24"/>
              </w:rPr>
            </w:pPr>
            <w:r>
              <w:rPr>
                <w:color w:val="000000"/>
                <w:kern w:val="0"/>
                <w:sz w:val="24"/>
                <w:szCs w:val="24"/>
              </w:rPr>
              <w:t>　</w:t>
            </w:r>
          </w:p>
        </w:tc>
      </w:tr>
    </w:tbl>
    <w:p>
      <w:pPr>
        <w:spacing w:line="360" w:lineRule="exact"/>
        <w:rPr>
          <w:rFonts w:ascii="Times New Roman" w:hAnsi="Times New Roman"/>
          <w:kern w:val="0"/>
          <w:sz w:val="24"/>
          <w:szCs w:val="24"/>
        </w:rPr>
        <w:sectPr>
          <w:pgSz w:w="11906" w:h="16838"/>
          <w:pgMar w:top="1134" w:right="1701" w:bottom="1134" w:left="1701" w:header="851" w:footer="992" w:gutter="0"/>
          <w:cols w:space="720" w:num="1"/>
          <w:docGrid w:type="lines" w:linePitch="312" w:charSpace="0"/>
        </w:sectPr>
      </w:pPr>
      <w:r>
        <w:rPr>
          <w:rFonts w:ascii="Times New Roman" w:hAnsi="Times New Roman"/>
          <w:kern w:val="0"/>
          <w:sz w:val="24"/>
          <w:szCs w:val="24"/>
        </w:rPr>
        <w:t>填表人：</w:t>
      </w:r>
      <w:r>
        <w:rPr>
          <w:rFonts w:hint="eastAsia" w:ascii="Times New Roman" w:hAnsi="Times New Roman"/>
          <w:kern w:val="0"/>
          <w:sz w:val="24"/>
          <w:szCs w:val="24"/>
        </w:rPr>
        <w:t>汤萍</w:t>
      </w:r>
      <w:r>
        <w:rPr>
          <w:rFonts w:ascii="Times New Roman" w:hAnsi="Times New Roman"/>
          <w:kern w:val="0"/>
          <w:sz w:val="24"/>
          <w:szCs w:val="24"/>
        </w:rPr>
        <w:t xml:space="preserve">        填报日期： </w:t>
      </w:r>
      <w:r>
        <w:rPr>
          <w:rFonts w:hint="eastAsia" w:ascii="Times New Roman" w:hAnsi="Times New Roman"/>
          <w:kern w:val="0"/>
          <w:sz w:val="24"/>
          <w:szCs w:val="24"/>
        </w:rPr>
        <w:t>2021.04.26</w:t>
      </w:r>
      <w:r>
        <w:rPr>
          <w:rFonts w:ascii="Times New Roman" w:hAnsi="Times New Roman"/>
          <w:kern w:val="0"/>
          <w:sz w:val="24"/>
          <w:szCs w:val="24"/>
        </w:rPr>
        <w:t xml:space="preserve">         联系电话：</w:t>
      </w:r>
      <w:r>
        <w:rPr>
          <w:rFonts w:hint="eastAsia" w:ascii="Times New Roman" w:hAnsi="Times New Roman"/>
          <w:kern w:val="0"/>
          <w:sz w:val="24"/>
          <w:szCs w:val="24"/>
        </w:rPr>
        <w:t>0731-85582045</w:t>
      </w:r>
      <w:r>
        <w:rPr>
          <w:rFonts w:ascii="Times New Roman" w:hAnsi="Times New Roman"/>
          <w:kern w:val="0"/>
          <w:sz w:val="24"/>
          <w:szCs w:val="24"/>
        </w:rPr>
        <w:t xml:space="preserve">         单位负责人签字</w:t>
      </w:r>
      <w:r>
        <w:rPr>
          <w:rFonts w:hint="eastAsia" w:ascii="Times New Roman" w:hAnsi="Times New Roman"/>
          <w:kern w:val="0"/>
          <w:sz w:val="24"/>
          <w:szCs w:val="24"/>
        </w:rPr>
        <w:t>：岳超</w:t>
      </w:r>
    </w:p>
    <w:p>
      <w:pPr>
        <w:widowControl/>
        <w:jc w:val="left"/>
        <w:rPr>
          <w:rFonts w:eastAsia="黑体"/>
          <w:szCs w:val="32"/>
        </w:rPr>
      </w:pPr>
      <w:r>
        <w:rPr>
          <w:rFonts w:eastAsia="黑体"/>
          <w:szCs w:val="32"/>
        </w:rPr>
        <w:t>附件</w:t>
      </w:r>
      <w:r>
        <w:rPr>
          <w:rFonts w:hint="eastAsia" w:eastAsia="黑体"/>
          <w:szCs w:val="32"/>
        </w:rPr>
        <w:t>3</w:t>
      </w:r>
    </w:p>
    <w:p>
      <w:pPr>
        <w:widowControl/>
        <w:jc w:val="center"/>
        <w:rPr>
          <w:color w:val="000000"/>
          <w:kern w:val="0"/>
          <w:szCs w:val="21"/>
        </w:rPr>
      </w:pPr>
      <w:r>
        <w:rPr>
          <w:rFonts w:hint="eastAsia" w:eastAsia="方正小标宋_GBK"/>
          <w:color w:val="000000"/>
          <w:kern w:val="0"/>
          <w:sz w:val="36"/>
          <w:szCs w:val="36"/>
        </w:rPr>
        <w:t>2020年度</w:t>
      </w:r>
      <w:r>
        <w:rPr>
          <w:rFonts w:eastAsia="方正小标宋_GBK"/>
          <w:color w:val="000000"/>
          <w:kern w:val="0"/>
          <w:sz w:val="36"/>
          <w:szCs w:val="36"/>
        </w:rPr>
        <w:t>项目支出绩效自评表</w:t>
      </w:r>
    </w:p>
    <w:tbl>
      <w:tblPr>
        <w:tblStyle w:val="5"/>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961"/>
        <w:gridCol w:w="1337"/>
        <w:gridCol w:w="1104"/>
        <w:gridCol w:w="997"/>
        <w:gridCol w:w="1255"/>
        <w:gridCol w:w="707"/>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1" w:type="dxa"/>
            <w:tcBorders>
              <w:top w:val="single" w:color="auto" w:sz="12" w:space="0"/>
              <w:left w:val="single" w:color="auto" w:sz="12" w:space="0"/>
            </w:tcBorders>
            <w:shd w:val="clear" w:color="auto" w:fill="auto"/>
            <w:noWrap/>
            <w:vAlign w:val="center"/>
          </w:tcPr>
          <w:p>
            <w:pPr>
              <w:widowControl/>
              <w:spacing w:line="26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项目支</w:t>
            </w:r>
          </w:p>
          <w:p>
            <w:pPr>
              <w:widowControl/>
              <w:spacing w:line="26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出名称</w:t>
            </w:r>
          </w:p>
        </w:tc>
        <w:tc>
          <w:tcPr>
            <w:tcW w:w="8652" w:type="dxa"/>
            <w:gridSpan w:val="8"/>
            <w:tcBorders>
              <w:top w:val="single" w:color="auto" w:sz="12" w:space="0"/>
              <w:right w:val="single" w:color="auto" w:sz="12"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kern w:val="0"/>
                <w:sz w:val="24"/>
                <w:szCs w:val="24"/>
              </w:rPr>
              <w:t>业务工作经费-</w:t>
            </w:r>
            <w:r>
              <w:rPr>
                <w:rFonts w:hint="eastAsia" w:ascii="仿宋" w:hAnsi="仿宋" w:eastAsia="仿宋" w:cs="仿宋"/>
                <w:color w:val="000000"/>
                <w:kern w:val="0"/>
                <w:sz w:val="24"/>
                <w:szCs w:val="24"/>
              </w:rPr>
              <w:t>林木种子加工处理与储藏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主管</w:t>
            </w:r>
          </w:p>
          <w:p>
            <w:pPr>
              <w:widowControl/>
              <w:jc w:val="lef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部门</w:t>
            </w:r>
          </w:p>
        </w:tc>
        <w:tc>
          <w:tcPr>
            <w:tcW w:w="4399" w:type="dxa"/>
            <w:gridSpan w:val="4"/>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湖南省林业局</w:t>
            </w:r>
          </w:p>
        </w:tc>
        <w:tc>
          <w:tcPr>
            <w:tcW w:w="1255"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实施单位</w:t>
            </w:r>
          </w:p>
        </w:tc>
        <w:tc>
          <w:tcPr>
            <w:tcW w:w="2998" w:type="dxa"/>
            <w:gridSpan w:val="3"/>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湖南省林木种子储备调剂中心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项目资金</w:t>
            </w:r>
            <w:r>
              <w:rPr>
                <w:rFonts w:hint="eastAsia" w:ascii="仿宋" w:hAnsi="仿宋" w:eastAsia="仿宋" w:cs="仿宋"/>
                <w:b/>
                <w:bCs/>
                <w:color w:val="000000"/>
                <w:kern w:val="0"/>
                <w:sz w:val="24"/>
                <w:szCs w:val="24"/>
              </w:rPr>
              <w:br w:type="textWrapping"/>
            </w:r>
            <w:r>
              <w:rPr>
                <w:rFonts w:hint="eastAsia" w:ascii="仿宋" w:hAnsi="仿宋" w:eastAsia="仿宋" w:cs="仿宋"/>
                <w:b/>
                <w:bCs/>
                <w:color w:val="000000"/>
                <w:kern w:val="0"/>
                <w:sz w:val="24"/>
                <w:szCs w:val="24"/>
              </w:rPr>
              <w:t>（万元）</w:t>
            </w:r>
          </w:p>
        </w:tc>
        <w:tc>
          <w:tcPr>
            <w:tcW w:w="2298" w:type="dxa"/>
            <w:gridSpan w:val="2"/>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104"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年初</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预算数</w:t>
            </w:r>
          </w:p>
        </w:tc>
        <w:tc>
          <w:tcPr>
            <w:tcW w:w="99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全年</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预算数</w:t>
            </w:r>
          </w:p>
        </w:tc>
        <w:tc>
          <w:tcPr>
            <w:tcW w:w="1255" w:type="dxa"/>
            <w:shd w:val="clear" w:color="auto" w:fill="auto"/>
            <w:noWrap/>
            <w:vAlign w:val="center"/>
          </w:tcPr>
          <w:p>
            <w:pPr>
              <w:jc w:val="center"/>
              <w:rPr>
                <w:rFonts w:ascii="仿宋" w:hAnsi="仿宋" w:eastAsia="仿宋" w:cs="仿宋"/>
                <w:sz w:val="24"/>
                <w:szCs w:val="24"/>
              </w:rPr>
            </w:pPr>
            <w:r>
              <w:rPr>
                <w:rFonts w:hint="eastAsia" w:ascii="仿宋" w:hAnsi="仿宋" w:eastAsia="仿宋" w:cs="仿宋"/>
                <w:sz w:val="24"/>
                <w:szCs w:val="24"/>
              </w:rPr>
              <w:t>全年</w:t>
            </w:r>
          </w:p>
          <w:p>
            <w:pPr>
              <w:jc w:val="center"/>
              <w:rPr>
                <w:rFonts w:ascii="仿宋" w:hAnsi="仿宋" w:eastAsia="仿宋" w:cs="仿宋"/>
                <w:sz w:val="24"/>
                <w:szCs w:val="24"/>
              </w:rPr>
            </w:pPr>
            <w:r>
              <w:rPr>
                <w:rFonts w:hint="eastAsia" w:ascii="仿宋" w:hAnsi="仿宋" w:eastAsia="仿宋" w:cs="仿宋"/>
                <w:sz w:val="24"/>
                <w:szCs w:val="24"/>
              </w:rPr>
              <w:t>执行数</w:t>
            </w:r>
          </w:p>
        </w:tc>
        <w:tc>
          <w:tcPr>
            <w:tcW w:w="707" w:type="dxa"/>
            <w:shd w:val="clear" w:color="auto" w:fill="auto"/>
            <w:noWrap/>
            <w:vAlign w:val="center"/>
          </w:tcPr>
          <w:p>
            <w:pPr>
              <w:jc w:val="center"/>
              <w:rPr>
                <w:rFonts w:ascii="仿宋" w:hAnsi="仿宋" w:eastAsia="仿宋" w:cs="仿宋"/>
                <w:sz w:val="24"/>
                <w:szCs w:val="24"/>
              </w:rPr>
            </w:pPr>
            <w:r>
              <w:rPr>
                <w:rFonts w:hint="eastAsia" w:ascii="仿宋" w:hAnsi="仿宋" w:eastAsia="仿宋" w:cs="仿宋"/>
                <w:sz w:val="24"/>
                <w:szCs w:val="24"/>
              </w:rPr>
              <w:t>分值</w:t>
            </w:r>
          </w:p>
        </w:tc>
        <w:tc>
          <w:tcPr>
            <w:tcW w:w="873" w:type="dxa"/>
            <w:shd w:val="clear" w:color="auto" w:fill="auto"/>
            <w:noWrap/>
            <w:vAlign w:val="center"/>
          </w:tcPr>
          <w:p>
            <w:pPr>
              <w:jc w:val="center"/>
              <w:rPr>
                <w:rFonts w:ascii="仿宋" w:hAnsi="仿宋" w:eastAsia="仿宋" w:cs="仿宋"/>
                <w:sz w:val="24"/>
                <w:szCs w:val="24"/>
              </w:rPr>
            </w:pPr>
            <w:r>
              <w:rPr>
                <w:rFonts w:hint="eastAsia" w:ascii="仿宋" w:hAnsi="仿宋" w:eastAsia="仿宋" w:cs="仿宋"/>
                <w:sz w:val="24"/>
                <w:szCs w:val="24"/>
              </w:rPr>
              <w:t>执行率</w:t>
            </w:r>
          </w:p>
        </w:tc>
        <w:tc>
          <w:tcPr>
            <w:tcW w:w="1418" w:type="dxa"/>
            <w:tcBorders>
              <w:right w:val="single" w:color="auto" w:sz="12" w:space="0"/>
            </w:tcBorders>
            <w:shd w:val="clear" w:color="auto" w:fill="auto"/>
            <w:noWrap/>
            <w:vAlign w:val="center"/>
          </w:tcPr>
          <w:p>
            <w:pPr>
              <w:jc w:val="center"/>
              <w:rPr>
                <w:rFonts w:ascii="仿宋" w:hAnsi="仿宋" w:eastAsia="仿宋" w:cs="仿宋"/>
                <w:sz w:val="24"/>
                <w:szCs w:val="24"/>
              </w:rPr>
            </w:pPr>
            <w:r>
              <w:rPr>
                <w:rFonts w:hint="eastAsia" w:ascii="仿宋" w:hAnsi="仿宋" w:eastAsia="仿宋" w:cs="仿宋"/>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2298" w:type="dxa"/>
            <w:gridSpan w:val="2"/>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年度资金总额　</w:t>
            </w: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15</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15</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15</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10</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2298" w:type="dxa"/>
            <w:gridSpan w:val="2"/>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其中：当年财政拨款　</w:t>
            </w: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2298" w:type="dxa"/>
            <w:gridSpan w:val="2"/>
            <w:shd w:val="clear" w:color="auto" w:fill="auto"/>
            <w:noWrap/>
            <w:vAlign w:val="center"/>
          </w:tcPr>
          <w:p>
            <w:pPr>
              <w:widowControl/>
              <w:ind w:firstLine="240" w:firstLineChars="1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上年结转资金　</w:t>
            </w: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2298" w:type="dxa"/>
            <w:gridSpan w:val="2"/>
            <w:shd w:val="clear" w:color="auto" w:fill="auto"/>
            <w:noWrap/>
            <w:vAlign w:val="center"/>
          </w:tcPr>
          <w:p>
            <w:pPr>
              <w:widowControl/>
              <w:ind w:firstLine="240" w:firstLineChars="1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其他资金</w:t>
            </w: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shd w:val="clear" w:color="auto" w:fill="auto"/>
            <w:noWrap/>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年度总体目标</w:t>
            </w:r>
          </w:p>
        </w:tc>
        <w:tc>
          <w:tcPr>
            <w:tcW w:w="4399" w:type="dxa"/>
            <w:gridSpan w:val="4"/>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预期目标</w:t>
            </w:r>
          </w:p>
        </w:tc>
        <w:tc>
          <w:tcPr>
            <w:tcW w:w="4253" w:type="dxa"/>
            <w:gridSpan w:val="4"/>
            <w:tcBorders>
              <w:right w:val="single" w:color="auto" w:sz="12"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4399" w:type="dxa"/>
            <w:gridSpan w:val="4"/>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确保日常运行　　</w:t>
            </w:r>
          </w:p>
        </w:tc>
        <w:tc>
          <w:tcPr>
            <w:tcW w:w="4253" w:type="dxa"/>
            <w:gridSpan w:val="4"/>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确保日常运行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shd w:val="clear" w:color="auto" w:fill="auto"/>
            <w:noWrap/>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绩</w:t>
            </w:r>
          </w:p>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效</w:t>
            </w:r>
          </w:p>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指</w:t>
            </w:r>
          </w:p>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标</w:t>
            </w:r>
          </w:p>
        </w:tc>
        <w:tc>
          <w:tcPr>
            <w:tcW w:w="961" w:type="dxa"/>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一级指标</w:t>
            </w:r>
          </w:p>
        </w:tc>
        <w:tc>
          <w:tcPr>
            <w:tcW w:w="1337" w:type="dxa"/>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二级指标</w:t>
            </w:r>
          </w:p>
        </w:tc>
        <w:tc>
          <w:tcPr>
            <w:tcW w:w="1104" w:type="dxa"/>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三级指标</w:t>
            </w:r>
          </w:p>
        </w:tc>
        <w:tc>
          <w:tcPr>
            <w:tcW w:w="997" w:type="dxa"/>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年度</w:t>
            </w:r>
          </w:p>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指标值</w:t>
            </w:r>
          </w:p>
        </w:tc>
        <w:tc>
          <w:tcPr>
            <w:tcW w:w="1255" w:type="dxa"/>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实际</w:t>
            </w:r>
          </w:p>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完成值</w:t>
            </w:r>
          </w:p>
        </w:tc>
        <w:tc>
          <w:tcPr>
            <w:tcW w:w="707" w:type="dxa"/>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分值</w:t>
            </w:r>
          </w:p>
        </w:tc>
        <w:tc>
          <w:tcPr>
            <w:tcW w:w="873" w:type="dxa"/>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得分</w:t>
            </w:r>
          </w:p>
        </w:tc>
        <w:tc>
          <w:tcPr>
            <w:tcW w:w="1418" w:type="dxa"/>
            <w:tcBorders>
              <w:right w:val="single" w:color="auto" w:sz="12" w:space="0"/>
            </w:tcBorders>
            <w:shd w:val="clear" w:color="auto" w:fill="auto"/>
            <w:noWrap/>
            <w:vAlign w:val="center"/>
          </w:tcPr>
          <w:p>
            <w:pPr>
              <w:widowControl/>
              <w:spacing w:line="24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偏差原因</w:t>
            </w:r>
          </w:p>
          <w:p>
            <w:pPr>
              <w:widowControl/>
              <w:spacing w:line="24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产出指标</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(50分)</w:t>
            </w:r>
          </w:p>
        </w:tc>
        <w:tc>
          <w:tcPr>
            <w:tcW w:w="133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指标</w:t>
            </w:r>
          </w:p>
        </w:tc>
        <w:tc>
          <w:tcPr>
            <w:tcW w:w="1104" w:type="dxa"/>
            <w:shd w:val="clear" w:color="auto" w:fill="auto"/>
            <w:noWrap/>
            <w:vAlign w:val="center"/>
          </w:tcPr>
          <w:p>
            <w:pPr>
              <w:widowControl/>
              <w:jc w:val="center"/>
              <w:rPr>
                <w:rFonts w:ascii="仿宋" w:hAnsi="仿宋" w:eastAsia="仿宋" w:cs="仿宋"/>
                <w:color w:val="000000"/>
                <w:kern w:val="0"/>
                <w:sz w:val="24"/>
                <w:szCs w:val="24"/>
              </w:rPr>
            </w:pPr>
            <w:r>
              <w:rPr>
                <w:rFonts w:ascii="仿宋" w:hAnsi="仿宋" w:eastAsia="仿宋" w:cs="仿宋"/>
                <w:color w:val="000000"/>
                <w:kern w:val="0"/>
                <w:sz w:val="24"/>
                <w:szCs w:val="24"/>
              </w:rPr>
              <w:t>种子发放数量</w:t>
            </w:r>
          </w:p>
        </w:tc>
        <w:tc>
          <w:tcPr>
            <w:tcW w:w="99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2800公斤</w:t>
            </w:r>
          </w:p>
        </w:tc>
        <w:tc>
          <w:tcPr>
            <w:tcW w:w="1255"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2851.2公斤</w:t>
            </w:r>
          </w:p>
        </w:tc>
        <w:tc>
          <w:tcPr>
            <w:tcW w:w="70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质量</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指标</w:t>
            </w:r>
          </w:p>
        </w:tc>
        <w:tc>
          <w:tcPr>
            <w:tcW w:w="1104" w:type="dxa"/>
            <w:shd w:val="clear" w:color="auto" w:fill="auto"/>
            <w:noWrap/>
            <w:vAlign w:val="center"/>
          </w:tcPr>
          <w:p>
            <w:pPr>
              <w:widowControl/>
              <w:jc w:val="center"/>
              <w:rPr>
                <w:rFonts w:ascii="仿宋" w:hAnsi="仿宋" w:eastAsia="仿宋" w:cs="仿宋"/>
                <w:color w:val="000000"/>
                <w:kern w:val="0"/>
                <w:sz w:val="24"/>
                <w:szCs w:val="24"/>
              </w:rPr>
            </w:pPr>
          </w:p>
        </w:tc>
        <w:tc>
          <w:tcPr>
            <w:tcW w:w="99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continue"/>
            <w:shd w:val="clear" w:color="auto" w:fill="auto"/>
            <w:noWrap/>
            <w:vAlign w:val="center"/>
          </w:tcPr>
          <w:p>
            <w:pPr>
              <w:widowControl/>
              <w:jc w:val="center"/>
              <w:rPr>
                <w:rFonts w:ascii="仿宋" w:hAnsi="仿宋" w:eastAsia="仿宋" w:cs="仿宋"/>
                <w:color w:val="000000"/>
                <w:kern w:val="0"/>
                <w:sz w:val="24"/>
                <w:szCs w:val="24"/>
              </w:rPr>
            </w:pPr>
          </w:p>
        </w:tc>
        <w:tc>
          <w:tcPr>
            <w:tcW w:w="1104"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9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时效</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指标</w:t>
            </w:r>
          </w:p>
        </w:tc>
        <w:tc>
          <w:tcPr>
            <w:tcW w:w="1104"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预算执行率</w:t>
            </w:r>
          </w:p>
        </w:tc>
        <w:tc>
          <w:tcPr>
            <w:tcW w:w="997" w:type="dxa"/>
            <w:shd w:val="clear" w:color="auto" w:fill="auto"/>
            <w:noWrap/>
            <w:vAlign w:val="center"/>
          </w:tcPr>
          <w:p>
            <w:pPr>
              <w:widowControl/>
              <w:jc w:val="center"/>
              <w:rPr>
                <w:rFonts w:ascii="仿宋" w:hAnsi="仿宋" w:eastAsia="仿宋" w:cs="仿宋"/>
                <w:color w:val="000000"/>
                <w:kern w:val="0"/>
                <w:sz w:val="24"/>
                <w:szCs w:val="24"/>
              </w:rPr>
            </w:pPr>
            <w:r>
              <w:rPr>
                <w:rFonts w:ascii="仿宋" w:hAnsi="仿宋" w:eastAsia="仿宋" w:cs="仿宋"/>
                <w:color w:val="000000"/>
                <w:kern w:val="0"/>
                <w:sz w:val="24"/>
                <w:szCs w:val="24"/>
              </w:rPr>
              <w:t>　</w:t>
            </w:r>
            <w:r>
              <w:rPr>
                <w:rFonts w:hint="eastAsia" w:ascii="仿宋" w:hAnsi="仿宋" w:eastAsia="仿宋" w:cs="仿宋"/>
                <w:color w:val="000000"/>
                <w:kern w:val="0"/>
                <w:sz w:val="24"/>
                <w:szCs w:val="24"/>
              </w:rPr>
              <w:t>100%</w:t>
            </w:r>
          </w:p>
        </w:tc>
        <w:tc>
          <w:tcPr>
            <w:tcW w:w="1255"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70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成本</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指标</w:t>
            </w:r>
          </w:p>
        </w:tc>
        <w:tc>
          <w:tcPr>
            <w:tcW w:w="1104"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年度预算数</w:t>
            </w:r>
          </w:p>
        </w:tc>
        <w:tc>
          <w:tcPr>
            <w:tcW w:w="99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15</w:t>
            </w:r>
          </w:p>
        </w:tc>
        <w:tc>
          <w:tcPr>
            <w:tcW w:w="1255"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　</w:t>
            </w:r>
          </w:p>
        </w:tc>
        <w:tc>
          <w:tcPr>
            <w:tcW w:w="707" w:type="dxa"/>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337"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restart"/>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效益指标</w:t>
            </w:r>
          </w:p>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（30分）</w:t>
            </w:r>
          </w:p>
        </w:tc>
        <w:tc>
          <w:tcPr>
            <w:tcW w:w="133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经济效</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益指标</w:t>
            </w:r>
          </w:p>
        </w:tc>
        <w:tc>
          <w:tcPr>
            <w:tcW w:w="1104" w:type="dxa"/>
            <w:shd w:val="clear" w:color="auto" w:fill="auto"/>
            <w:noWrap/>
            <w:vAlign w:val="center"/>
          </w:tcPr>
          <w:p>
            <w:pPr>
              <w:widowControl/>
              <w:jc w:val="left"/>
              <w:rPr>
                <w:rFonts w:ascii="仿宋" w:hAnsi="仿宋" w:eastAsia="仿宋" w:cs="仿宋"/>
                <w:color w:val="000000"/>
                <w:kern w:val="0"/>
                <w:sz w:val="24"/>
                <w:szCs w:val="24"/>
              </w:rPr>
            </w:pP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continue"/>
            <w:shd w:val="clear" w:color="auto" w:fill="auto"/>
            <w:noWrap/>
            <w:vAlign w:val="center"/>
          </w:tcPr>
          <w:p>
            <w:pPr>
              <w:widowControl/>
              <w:jc w:val="center"/>
              <w:rPr>
                <w:rFonts w:ascii="仿宋" w:hAnsi="仿宋" w:eastAsia="仿宋" w:cs="仿宋"/>
                <w:color w:val="000000"/>
                <w:kern w:val="0"/>
                <w:sz w:val="24"/>
                <w:szCs w:val="24"/>
              </w:rPr>
            </w:pP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社会效</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益指标</w:t>
            </w:r>
          </w:p>
        </w:tc>
        <w:tc>
          <w:tcPr>
            <w:tcW w:w="1104" w:type="dxa"/>
            <w:shd w:val="clear" w:color="auto" w:fill="auto"/>
            <w:noWrap/>
            <w:vAlign w:val="center"/>
          </w:tcPr>
          <w:p>
            <w:pPr>
              <w:widowControl/>
              <w:jc w:val="left"/>
              <w:rPr>
                <w:rFonts w:ascii="仿宋" w:hAnsi="仿宋" w:eastAsia="仿宋" w:cs="仿宋"/>
                <w:color w:val="000000"/>
                <w:kern w:val="0"/>
                <w:sz w:val="24"/>
                <w:szCs w:val="24"/>
              </w:rPr>
            </w:pP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continue"/>
            <w:shd w:val="clear" w:color="auto" w:fill="auto"/>
            <w:noWrap/>
            <w:vAlign w:val="center"/>
          </w:tcPr>
          <w:p>
            <w:pPr>
              <w:widowControl/>
              <w:jc w:val="center"/>
              <w:rPr>
                <w:rFonts w:ascii="仿宋" w:hAnsi="仿宋" w:eastAsia="仿宋" w:cs="仿宋"/>
                <w:color w:val="000000"/>
                <w:kern w:val="0"/>
                <w:sz w:val="24"/>
                <w:szCs w:val="24"/>
              </w:rPr>
            </w:pP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生态效</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益指标</w:t>
            </w:r>
          </w:p>
        </w:tc>
        <w:tc>
          <w:tcPr>
            <w:tcW w:w="1104" w:type="dxa"/>
            <w:shd w:val="clear" w:color="auto" w:fill="auto"/>
            <w:noWrap/>
            <w:vAlign w:val="center"/>
          </w:tcPr>
          <w:p>
            <w:pPr>
              <w:widowControl/>
              <w:jc w:val="left"/>
              <w:rPr>
                <w:rFonts w:ascii="仿宋" w:hAnsi="仿宋" w:eastAsia="仿宋" w:cs="仿宋"/>
                <w:color w:val="000000"/>
                <w:kern w:val="0"/>
                <w:sz w:val="24"/>
                <w:szCs w:val="24"/>
              </w:rPr>
            </w:pP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p>
        </w:tc>
        <w:tc>
          <w:tcPr>
            <w:tcW w:w="961" w:type="dxa"/>
            <w:vMerge w:val="continue"/>
            <w:shd w:val="clear" w:color="auto" w:fill="auto"/>
            <w:noWrap/>
            <w:vAlign w:val="center"/>
          </w:tcPr>
          <w:p>
            <w:pPr>
              <w:jc w:val="left"/>
              <w:rPr>
                <w:rFonts w:ascii="仿宋" w:hAnsi="仿宋" w:eastAsia="仿宋" w:cs="仿宋"/>
                <w:color w:val="000000"/>
                <w:kern w:val="0"/>
                <w:sz w:val="24"/>
                <w:szCs w:val="24"/>
              </w:rPr>
            </w:pPr>
          </w:p>
        </w:tc>
        <w:tc>
          <w:tcPr>
            <w:tcW w:w="1337"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center"/>
              <w:rPr>
                <w:rFonts w:ascii="仿宋" w:hAnsi="仿宋" w:eastAsia="仿宋" w:cs="仿宋"/>
                <w:color w:val="000000"/>
                <w:kern w:val="0"/>
                <w:sz w:val="24"/>
                <w:szCs w:val="24"/>
              </w:rPr>
            </w:pPr>
          </w:p>
        </w:tc>
        <w:tc>
          <w:tcPr>
            <w:tcW w:w="961"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33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可持续影响指标</w:t>
            </w:r>
          </w:p>
        </w:tc>
        <w:tc>
          <w:tcPr>
            <w:tcW w:w="1104" w:type="dxa"/>
            <w:shd w:val="clear" w:color="auto" w:fill="auto"/>
            <w:noWrap/>
            <w:vAlign w:val="center"/>
          </w:tcPr>
          <w:p>
            <w:pPr>
              <w:widowControl/>
              <w:jc w:val="left"/>
              <w:rPr>
                <w:rFonts w:ascii="仿宋" w:hAnsi="仿宋" w:eastAsia="仿宋" w:cs="仿宋"/>
                <w:color w:val="000000"/>
                <w:kern w:val="0"/>
                <w:sz w:val="24"/>
                <w:szCs w:val="24"/>
              </w:rPr>
            </w:pP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337"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jc w:val="left"/>
              <w:rPr>
                <w:rFonts w:ascii="仿宋" w:hAnsi="仿宋" w:eastAsia="仿宋" w:cs="仿宋"/>
                <w:color w:val="000000"/>
                <w:kern w:val="0"/>
                <w:sz w:val="24"/>
                <w:szCs w:val="24"/>
              </w:rPr>
            </w:pPr>
          </w:p>
        </w:tc>
        <w:tc>
          <w:tcPr>
            <w:tcW w:w="961"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满意度</w:t>
            </w:r>
          </w:p>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指标</w:t>
            </w:r>
          </w:p>
          <w:p>
            <w:pPr>
              <w:widowControl/>
              <w:rPr>
                <w:rFonts w:ascii="仿宋" w:hAnsi="仿宋" w:eastAsia="仿宋" w:cs="仿宋"/>
                <w:color w:val="000000"/>
                <w:kern w:val="0"/>
                <w:sz w:val="24"/>
                <w:szCs w:val="24"/>
              </w:rPr>
            </w:pPr>
            <w:r>
              <w:rPr>
                <w:rFonts w:hint="eastAsia" w:ascii="仿宋" w:hAnsi="仿宋" w:eastAsia="仿宋" w:cs="仿宋"/>
                <w:color w:val="000000"/>
                <w:kern w:val="0"/>
                <w:sz w:val="18"/>
                <w:szCs w:val="18"/>
              </w:rPr>
              <w:t>（10分）</w:t>
            </w:r>
          </w:p>
        </w:tc>
        <w:tc>
          <w:tcPr>
            <w:tcW w:w="1337" w:type="dxa"/>
            <w:vMerge w:val="restart"/>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服务对象满意度指标</w:t>
            </w:r>
          </w:p>
        </w:tc>
        <w:tc>
          <w:tcPr>
            <w:tcW w:w="1104" w:type="dxa"/>
            <w:shd w:val="clear" w:color="auto" w:fill="auto"/>
            <w:noWrap/>
            <w:vAlign w:val="center"/>
          </w:tcPr>
          <w:p>
            <w:pPr>
              <w:widowControl/>
              <w:jc w:val="left"/>
              <w:rPr>
                <w:rFonts w:ascii="仿宋" w:hAnsi="仿宋" w:eastAsia="仿宋" w:cs="仿宋"/>
                <w:color w:val="000000"/>
                <w:kern w:val="0"/>
                <w:sz w:val="24"/>
                <w:szCs w:val="24"/>
              </w:rPr>
            </w:pP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p>
        </w:tc>
        <w:tc>
          <w:tcPr>
            <w:tcW w:w="961"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337" w:type="dxa"/>
            <w:vMerge w:val="continue"/>
            <w:shd w:val="clear" w:color="auto" w:fill="auto"/>
            <w:noWrap/>
            <w:vAlign w:val="center"/>
          </w:tcPr>
          <w:p>
            <w:pPr>
              <w:widowControl/>
              <w:jc w:val="left"/>
              <w:rPr>
                <w:rFonts w:ascii="仿宋" w:hAnsi="仿宋" w:eastAsia="仿宋" w:cs="仿宋"/>
                <w:color w:val="000000"/>
                <w:kern w:val="0"/>
                <w:sz w:val="24"/>
                <w:szCs w:val="24"/>
              </w:rPr>
            </w:pPr>
          </w:p>
        </w:tc>
        <w:tc>
          <w:tcPr>
            <w:tcW w:w="1104"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9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55"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707"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873" w:type="dxa"/>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18" w:type="dxa"/>
            <w:tcBorders>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03" w:type="dxa"/>
            <w:gridSpan w:val="4"/>
            <w:tcBorders>
              <w:left w:val="single" w:color="auto" w:sz="12" w:space="0"/>
              <w:bottom w:val="single" w:color="auto" w:sz="12" w:space="0"/>
            </w:tcBorders>
            <w:shd w:val="clear" w:color="auto" w:fill="auto"/>
            <w:noWrap/>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总  分</w:t>
            </w:r>
          </w:p>
        </w:tc>
        <w:tc>
          <w:tcPr>
            <w:tcW w:w="997"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1255"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707"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873" w:type="dxa"/>
            <w:tcBorders>
              <w:bottom w:val="single" w:color="auto" w:sz="12" w:space="0"/>
            </w:tcBorders>
            <w:shd w:val="clear" w:color="auto" w:fill="auto"/>
            <w:noWrap/>
            <w:vAlign w:val="center"/>
          </w:tcPr>
          <w:p>
            <w:pPr>
              <w:widowControl/>
              <w:jc w:val="left"/>
              <w:rPr>
                <w:rFonts w:ascii="仿宋" w:hAnsi="仿宋" w:eastAsia="仿宋" w:cs="仿宋"/>
                <w:b/>
                <w:bCs/>
                <w:color w:val="000000"/>
                <w:kern w:val="0"/>
                <w:sz w:val="24"/>
                <w:szCs w:val="24"/>
              </w:rPr>
            </w:pPr>
          </w:p>
        </w:tc>
        <w:tc>
          <w:tcPr>
            <w:tcW w:w="1418" w:type="dxa"/>
            <w:tcBorders>
              <w:bottom w:val="single" w:color="auto" w:sz="12" w:space="0"/>
              <w:right w:val="single" w:color="auto" w:sz="12" w:space="0"/>
            </w:tcBorders>
            <w:shd w:val="clear" w:color="auto" w:fill="auto"/>
            <w:noWrap/>
            <w:vAlign w:val="center"/>
          </w:tcPr>
          <w:p>
            <w:pPr>
              <w:widowControl/>
              <w:jc w:val="left"/>
              <w:rPr>
                <w:rFonts w:ascii="仿宋" w:hAnsi="仿宋" w:eastAsia="仿宋" w:cs="仿宋"/>
                <w:color w:val="000000"/>
                <w:kern w:val="0"/>
                <w:sz w:val="24"/>
                <w:szCs w:val="24"/>
              </w:rPr>
            </w:pPr>
          </w:p>
        </w:tc>
      </w:tr>
    </w:tbl>
    <w:p>
      <w:pPr>
        <w:spacing w:line="360" w:lineRule="exact"/>
        <w:rPr>
          <w:kern w:val="0"/>
          <w:szCs w:val="32"/>
        </w:rPr>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pPr>
      <w:r>
        <w:rPr>
          <w:rFonts w:ascii="Times New Roman" w:hAnsi="Times New Roman"/>
          <w:kern w:val="0"/>
          <w:sz w:val="24"/>
          <w:szCs w:val="24"/>
        </w:rPr>
        <w:t>填表人：</w:t>
      </w:r>
      <w:r>
        <w:rPr>
          <w:rFonts w:hint="eastAsia" w:ascii="Times New Roman" w:hAnsi="Times New Roman"/>
          <w:kern w:val="0"/>
          <w:sz w:val="24"/>
          <w:szCs w:val="24"/>
        </w:rPr>
        <w:t>汤萍</w:t>
      </w:r>
      <w:r>
        <w:rPr>
          <w:rFonts w:ascii="Times New Roman" w:hAnsi="Times New Roman"/>
          <w:kern w:val="0"/>
          <w:sz w:val="24"/>
          <w:szCs w:val="24"/>
        </w:rPr>
        <w:t xml:space="preserve">        填报日期： </w:t>
      </w:r>
      <w:r>
        <w:rPr>
          <w:rFonts w:hint="eastAsia" w:ascii="Times New Roman" w:hAnsi="Times New Roman"/>
          <w:kern w:val="0"/>
          <w:sz w:val="24"/>
          <w:szCs w:val="24"/>
        </w:rPr>
        <w:t>2021.04.26</w:t>
      </w:r>
      <w:r>
        <w:rPr>
          <w:rFonts w:ascii="Times New Roman" w:hAnsi="Times New Roman"/>
          <w:kern w:val="0"/>
          <w:sz w:val="24"/>
          <w:szCs w:val="24"/>
        </w:rPr>
        <w:t xml:space="preserve">         联系电话：</w:t>
      </w:r>
      <w:r>
        <w:rPr>
          <w:rFonts w:hint="eastAsia" w:ascii="Times New Roman" w:hAnsi="Times New Roman"/>
          <w:kern w:val="0"/>
          <w:sz w:val="24"/>
          <w:szCs w:val="24"/>
        </w:rPr>
        <w:t>0731-85582045</w:t>
      </w:r>
      <w:r>
        <w:rPr>
          <w:rFonts w:ascii="Times New Roman" w:hAnsi="Times New Roman"/>
          <w:kern w:val="0"/>
          <w:sz w:val="24"/>
          <w:szCs w:val="24"/>
        </w:rPr>
        <w:t xml:space="preserve">         单位负责人签字</w:t>
      </w:r>
      <w:r>
        <w:rPr>
          <w:rFonts w:hint="eastAsia" w:ascii="Times New Roman" w:hAnsi="Times New Roman"/>
          <w:kern w:val="0"/>
          <w:sz w:val="24"/>
          <w:szCs w:val="24"/>
        </w:rPr>
        <w:t>：岳超</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cs="宋体"/>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w:t>
    </w:r>
    <w:r>
      <w:rPr>
        <w:sz w:val="28"/>
        <w:szCs w:val="28"/>
      </w:rPr>
      <w:fldChar w:fldCharType="end"/>
    </w:r>
    <w:r>
      <w:rPr>
        <w:rStyle w:val="7"/>
        <w:rFonts w:hint="eastAsia" w:cs="宋体"/>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F7458"/>
    <w:rsid w:val="0034735E"/>
    <w:rsid w:val="005F7458"/>
    <w:rsid w:val="00701844"/>
    <w:rsid w:val="02A03431"/>
    <w:rsid w:val="10E22109"/>
    <w:rsid w:val="13DDF335"/>
    <w:rsid w:val="286FA2FB"/>
    <w:rsid w:val="2F2F4E3B"/>
    <w:rsid w:val="33B40332"/>
    <w:rsid w:val="3EB90495"/>
    <w:rsid w:val="4DE57AE6"/>
    <w:rsid w:val="538B5C8C"/>
    <w:rsid w:val="55EE63CF"/>
    <w:rsid w:val="567E3AF4"/>
    <w:rsid w:val="5A7E6A96"/>
    <w:rsid w:val="5D7911E6"/>
    <w:rsid w:val="5FBED89F"/>
    <w:rsid w:val="7F65FC3C"/>
    <w:rsid w:val="ECFF03E5"/>
    <w:rsid w:val="F52FD9CF"/>
    <w:rsid w:val="FBFBB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0"/>
  </w:style>
  <w:style w:type="paragraph" w:customStyle="1" w:styleId="8">
    <w:name w:val="_Style 8"/>
    <w:basedOn w:val="1"/>
    <w:next w:val="9"/>
    <w:qFormat/>
    <w:uiPriority w:val="99"/>
    <w:pPr>
      <w:ind w:firstLine="420" w:firstLineChars="200"/>
    </w:pPr>
    <w:rPr>
      <w:rFonts w:ascii="Calibri" w:hAnsi="Calibri" w:eastAsia="宋体"/>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eastAsia="宋体"/>
    </w:rPr>
  </w:style>
  <w:style w:type="character" w:customStyle="1" w:styleId="11">
    <w:name w:val="页眉 Char"/>
    <w:basedOn w:val="6"/>
    <w:link w:val="3"/>
    <w:qFormat/>
    <w:uiPriority w:val="0"/>
    <w:rPr>
      <w:rFonts w:asciiTheme="minorHAnsi" w:hAnsiTheme="minorHAnsi" w:eastAsiaTheme="minorEastAsia" w:cstheme="minorBidi"/>
      <w:kern w:val="2"/>
      <w:sz w:val="18"/>
      <w:szCs w:val="18"/>
    </w:rPr>
  </w:style>
  <w:style w:type="character" w:customStyle="1" w:styleId="12">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2062</Words>
  <Characters>11754</Characters>
  <Lines>97</Lines>
  <Paragraphs>27</Paragraphs>
  <TotalTime>0</TotalTime>
  <ScaleCrop>false</ScaleCrop>
  <LinksUpToDate>false</LinksUpToDate>
  <CharactersWithSpaces>13789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lyt</dc:creator>
  <cp:lastModifiedBy>唐星</cp:lastModifiedBy>
  <dcterms:modified xsi:type="dcterms:W3CDTF">2022-09-08T11:53:00Z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F293DB008F9B4DFA9B5949BC49E39A2D</vt:lpwstr>
  </property>
</Properties>
</file>