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rFonts w:hint="eastAsia"/>
          <w:sz w:val="52"/>
          <w:szCs w:val="52"/>
        </w:rPr>
        <w:t>2020年度</w:t>
      </w:r>
    </w:p>
    <w:p>
      <w:pPr>
        <w:jc w:val="center"/>
        <w:rPr>
          <w:sz w:val="52"/>
          <w:szCs w:val="52"/>
        </w:rPr>
      </w:pPr>
      <w:r>
        <w:rPr>
          <w:rFonts w:hint="eastAsia"/>
          <w:sz w:val="52"/>
          <w:szCs w:val="52"/>
        </w:rPr>
        <w:t>湖南省林产品质量检验检测中心</w:t>
      </w:r>
    </w:p>
    <w:p>
      <w:pPr>
        <w:jc w:val="center"/>
        <w:rPr>
          <w:sz w:val="52"/>
          <w:szCs w:val="52"/>
        </w:rPr>
      </w:pPr>
      <w:r>
        <w:rPr>
          <w:rFonts w:hint="eastAsia"/>
          <w:sz w:val="52"/>
          <w:szCs w:val="52"/>
        </w:rPr>
        <w:t>部门决算</w:t>
      </w:r>
    </w:p>
    <w:p/>
    <w:p/>
    <w:p/>
    <w:p/>
    <w:p/>
    <w:p/>
    <w:p/>
    <w:p/>
    <w:p/>
    <w:p/>
    <w:p/>
    <w:p/>
    <w:p/>
    <w:p/>
    <w:p/>
    <w:p/>
    <w:p/>
    <w:p/>
    <w:p/>
    <w:p/>
    <w:p/>
    <w:p/>
    <w:p/>
    <w:p/>
    <w:p/>
    <w:p/>
    <w:p/>
    <w:p/>
    <w:p/>
    <w:p/>
    <w:p/>
    <w:p/>
    <w:p/>
    <w:p/>
    <w:p/>
    <w:p/>
    <w:p/>
    <w:p>
      <w:pPr>
        <w:jc w:val="center"/>
        <w:rPr>
          <w:sz w:val="32"/>
          <w:szCs w:val="32"/>
        </w:rPr>
      </w:pPr>
      <w:r>
        <w:rPr>
          <w:rFonts w:hint="eastAsia"/>
          <w:sz w:val="32"/>
          <w:szCs w:val="32"/>
        </w:rPr>
        <w:t>目录</w:t>
      </w:r>
    </w:p>
    <w:p>
      <w:pPr>
        <w:rPr>
          <w:sz w:val="32"/>
          <w:szCs w:val="32"/>
        </w:rPr>
      </w:pPr>
    </w:p>
    <w:p>
      <w:pPr>
        <w:rPr>
          <w:sz w:val="32"/>
          <w:szCs w:val="32"/>
        </w:rPr>
      </w:pPr>
      <w:r>
        <w:rPr>
          <w:rFonts w:hint="eastAsia"/>
          <w:sz w:val="32"/>
          <w:szCs w:val="32"/>
        </w:rPr>
        <w:t>第一部分湖南省林产品质量检验检测中心概况</w:t>
      </w:r>
    </w:p>
    <w:p>
      <w:pPr>
        <w:rPr>
          <w:sz w:val="32"/>
          <w:szCs w:val="32"/>
        </w:rPr>
      </w:pPr>
      <w:r>
        <w:rPr>
          <w:rFonts w:hint="eastAsia"/>
          <w:sz w:val="32"/>
          <w:szCs w:val="32"/>
        </w:rPr>
        <w:t>一、部门职责</w:t>
      </w:r>
    </w:p>
    <w:p>
      <w:pPr>
        <w:rPr>
          <w:sz w:val="32"/>
          <w:szCs w:val="32"/>
        </w:rPr>
      </w:pPr>
      <w:r>
        <w:rPr>
          <w:rFonts w:hint="eastAsia"/>
          <w:sz w:val="32"/>
          <w:szCs w:val="32"/>
        </w:rPr>
        <w:t>二、机构设置</w:t>
      </w:r>
    </w:p>
    <w:p>
      <w:pPr>
        <w:rPr>
          <w:sz w:val="32"/>
          <w:szCs w:val="32"/>
        </w:rPr>
      </w:pPr>
      <w:r>
        <w:rPr>
          <w:rFonts w:hint="eastAsia"/>
          <w:sz w:val="32"/>
          <w:szCs w:val="32"/>
        </w:rPr>
        <w:t>第二部分2020年度部门决算表</w:t>
      </w:r>
    </w:p>
    <w:p>
      <w:pPr>
        <w:rPr>
          <w:sz w:val="32"/>
          <w:szCs w:val="32"/>
        </w:rPr>
      </w:pPr>
      <w:r>
        <w:rPr>
          <w:rFonts w:hint="eastAsia"/>
          <w:sz w:val="32"/>
          <w:szCs w:val="32"/>
        </w:rPr>
        <w:t>一、收入支出决算总表</w:t>
      </w:r>
    </w:p>
    <w:p>
      <w:pPr>
        <w:rPr>
          <w:sz w:val="32"/>
          <w:szCs w:val="32"/>
        </w:rPr>
      </w:pPr>
      <w:r>
        <w:rPr>
          <w:rFonts w:hint="eastAsia"/>
          <w:sz w:val="32"/>
          <w:szCs w:val="32"/>
        </w:rPr>
        <w:t>二、收入决算表</w:t>
      </w:r>
    </w:p>
    <w:p>
      <w:pPr>
        <w:rPr>
          <w:sz w:val="32"/>
          <w:szCs w:val="32"/>
        </w:rPr>
      </w:pPr>
      <w:r>
        <w:rPr>
          <w:rFonts w:hint="eastAsia"/>
          <w:sz w:val="32"/>
          <w:szCs w:val="32"/>
        </w:rPr>
        <w:t>三、支出决算表</w:t>
      </w:r>
    </w:p>
    <w:p>
      <w:pPr>
        <w:rPr>
          <w:sz w:val="32"/>
          <w:szCs w:val="32"/>
        </w:rPr>
      </w:pPr>
      <w:r>
        <w:rPr>
          <w:rFonts w:hint="eastAsia"/>
          <w:sz w:val="32"/>
          <w:szCs w:val="32"/>
        </w:rPr>
        <w:t>四、财政拨款收入支出决算总表</w:t>
      </w:r>
    </w:p>
    <w:p>
      <w:pPr>
        <w:rPr>
          <w:sz w:val="32"/>
          <w:szCs w:val="32"/>
        </w:rPr>
      </w:pPr>
      <w:r>
        <w:rPr>
          <w:rFonts w:hint="eastAsia"/>
          <w:sz w:val="32"/>
          <w:szCs w:val="32"/>
        </w:rPr>
        <w:t>五、一般公共预算财政拨款支出决算表</w:t>
      </w:r>
    </w:p>
    <w:p>
      <w:pPr>
        <w:rPr>
          <w:sz w:val="32"/>
          <w:szCs w:val="32"/>
        </w:rPr>
      </w:pPr>
      <w:r>
        <w:rPr>
          <w:rFonts w:hint="eastAsia"/>
          <w:sz w:val="32"/>
          <w:szCs w:val="32"/>
        </w:rPr>
        <w:t>六、一般公共预算财政拨款基本支出决算表</w:t>
      </w:r>
    </w:p>
    <w:p>
      <w:pPr>
        <w:rPr>
          <w:sz w:val="32"/>
          <w:szCs w:val="32"/>
        </w:rPr>
      </w:pPr>
      <w:r>
        <w:rPr>
          <w:rFonts w:hint="eastAsia"/>
          <w:sz w:val="32"/>
          <w:szCs w:val="32"/>
        </w:rPr>
        <w:t>七、一般公共预算财政拨款“三公”经费支岀决算表</w:t>
      </w:r>
    </w:p>
    <w:p>
      <w:pPr>
        <w:rPr>
          <w:sz w:val="32"/>
          <w:szCs w:val="32"/>
        </w:rPr>
      </w:pPr>
      <w:r>
        <w:rPr>
          <w:rFonts w:hint="eastAsia"/>
          <w:sz w:val="32"/>
          <w:szCs w:val="32"/>
        </w:rPr>
        <w:t>八、政府性基金预算财政拨款收入支出决算表</w:t>
      </w:r>
    </w:p>
    <w:p>
      <w:pPr>
        <w:rPr>
          <w:sz w:val="32"/>
          <w:szCs w:val="32"/>
        </w:rPr>
      </w:pPr>
      <w:r>
        <w:rPr>
          <w:rFonts w:hint="eastAsia"/>
          <w:sz w:val="32"/>
          <w:szCs w:val="32"/>
        </w:rPr>
        <w:t>九、国有资本经营预算财政拨款支出决算表</w:t>
      </w:r>
    </w:p>
    <w:p>
      <w:pPr>
        <w:rPr>
          <w:sz w:val="32"/>
          <w:szCs w:val="32"/>
        </w:rPr>
      </w:pPr>
      <w:r>
        <w:rPr>
          <w:rFonts w:hint="eastAsia"/>
          <w:sz w:val="32"/>
          <w:szCs w:val="32"/>
        </w:rPr>
        <w:t>第三部分2020年度部门决算情况说明</w:t>
      </w:r>
    </w:p>
    <w:p>
      <w:pPr>
        <w:rPr>
          <w:sz w:val="32"/>
          <w:szCs w:val="32"/>
        </w:rPr>
      </w:pPr>
      <w:r>
        <w:rPr>
          <w:rFonts w:hint="eastAsia"/>
          <w:sz w:val="32"/>
          <w:szCs w:val="32"/>
        </w:rPr>
        <w:t>一、收入支出决算总体情况说明</w:t>
      </w:r>
    </w:p>
    <w:p>
      <w:pPr>
        <w:rPr>
          <w:sz w:val="32"/>
          <w:szCs w:val="32"/>
        </w:rPr>
      </w:pPr>
      <w:r>
        <w:rPr>
          <w:rFonts w:hint="eastAsia"/>
          <w:sz w:val="32"/>
          <w:szCs w:val="32"/>
        </w:rPr>
        <w:t>二、收入决算情况说明</w:t>
      </w:r>
    </w:p>
    <w:p>
      <w:pPr>
        <w:rPr>
          <w:sz w:val="32"/>
          <w:szCs w:val="32"/>
        </w:rPr>
      </w:pPr>
      <w:r>
        <w:rPr>
          <w:rFonts w:hint="eastAsia"/>
          <w:sz w:val="32"/>
          <w:szCs w:val="32"/>
        </w:rPr>
        <w:t>三、支出决算情况说明</w:t>
      </w:r>
    </w:p>
    <w:p>
      <w:pPr>
        <w:rPr>
          <w:sz w:val="32"/>
          <w:szCs w:val="32"/>
        </w:rPr>
      </w:pPr>
      <w:r>
        <w:rPr>
          <w:rFonts w:hint="eastAsia"/>
          <w:sz w:val="32"/>
          <w:szCs w:val="32"/>
        </w:rPr>
        <w:t>四、财政拨款收入支出决算总体情况说明</w:t>
      </w:r>
    </w:p>
    <w:p>
      <w:pPr>
        <w:rPr>
          <w:sz w:val="32"/>
          <w:szCs w:val="32"/>
        </w:rPr>
      </w:pPr>
      <w:r>
        <w:rPr>
          <w:rFonts w:hint="eastAsia"/>
          <w:sz w:val="32"/>
          <w:szCs w:val="32"/>
        </w:rPr>
        <w:t>五、一般公共预算财政拨款支出决算情况说明</w:t>
      </w:r>
    </w:p>
    <w:p>
      <w:pPr>
        <w:rPr>
          <w:sz w:val="32"/>
          <w:szCs w:val="32"/>
        </w:rPr>
      </w:pPr>
      <w:r>
        <w:rPr>
          <w:rFonts w:hint="eastAsia"/>
          <w:sz w:val="32"/>
          <w:szCs w:val="32"/>
        </w:rPr>
        <w:t>六、一般公共预算财政拨款基本支出决算情况说明</w:t>
      </w:r>
    </w:p>
    <w:p>
      <w:pPr>
        <w:rPr>
          <w:sz w:val="32"/>
          <w:szCs w:val="32"/>
        </w:rPr>
      </w:pPr>
      <w:r>
        <w:rPr>
          <w:rFonts w:hint="eastAsia"/>
          <w:sz w:val="32"/>
          <w:szCs w:val="32"/>
        </w:rPr>
        <w:t>七、一般公共预算财政拨款三公经费支出决算情况说明</w:t>
      </w:r>
    </w:p>
    <w:p>
      <w:pPr>
        <w:rPr>
          <w:sz w:val="32"/>
          <w:szCs w:val="32"/>
        </w:rPr>
      </w:pPr>
      <w:r>
        <w:rPr>
          <w:rFonts w:hint="eastAsia"/>
          <w:sz w:val="32"/>
          <w:szCs w:val="32"/>
        </w:rPr>
        <w:t>八、政府性基金预算收入支出决算情况</w:t>
      </w:r>
    </w:p>
    <w:p>
      <w:pPr>
        <w:rPr>
          <w:sz w:val="32"/>
          <w:szCs w:val="32"/>
        </w:rPr>
      </w:pPr>
      <w:r>
        <w:rPr>
          <w:rFonts w:hint="eastAsia"/>
          <w:sz w:val="32"/>
          <w:szCs w:val="32"/>
        </w:rPr>
        <w:t>九、关于机关运行经费支出说明</w:t>
      </w:r>
    </w:p>
    <w:p>
      <w:pPr>
        <w:rPr>
          <w:sz w:val="32"/>
          <w:szCs w:val="32"/>
        </w:rPr>
      </w:pPr>
      <w:r>
        <w:rPr>
          <w:rFonts w:hint="eastAsia"/>
          <w:sz w:val="32"/>
          <w:szCs w:val="32"/>
        </w:rPr>
        <w:t>十、一般性支出情况</w:t>
      </w:r>
    </w:p>
    <w:p>
      <w:pPr>
        <w:rPr>
          <w:sz w:val="32"/>
          <w:szCs w:val="32"/>
        </w:rPr>
      </w:pPr>
      <w:r>
        <w:rPr>
          <w:rFonts w:hint="eastAsia"/>
          <w:sz w:val="32"/>
          <w:szCs w:val="32"/>
        </w:rPr>
        <w:t>十一、关于政府采购支出说明</w:t>
      </w:r>
    </w:p>
    <w:p>
      <w:pPr>
        <w:rPr>
          <w:sz w:val="32"/>
          <w:szCs w:val="32"/>
        </w:rPr>
      </w:pPr>
      <w:r>
        <w:rPr>
          <w:rFonts w:hint="eastAsia"/>
          <w:sz w:val="32"/>
          <w:szCs w:val="32"/>
        </w:rPr>
        <w:t>十二、关于国有资产占用情况说明</w:t>
      </w:r>
    </w:p>
    <w:p>
      <w:pPr>
        <w:rPr>
          <w:sz w:val="32"/>
          <w:szCs w:val="32"/>
        </w:rPr>
      </w:pPr>
      <w:r>
        <w:rPr>
          <w:rFonts w:hint="eastAsia"/>
          <w:sz w:val="32"/>
          <w:szCs w:val="32"/>
        </w:rPr>
        <w:t>十三、关于2020年度预算绩效情况的说明</w:t>
      </w:r>
    </w:p>
    <w:p>
      <w:pPr>
        <w:rPr>
          <w:sz w:val="32"/>
          <w:szCs w:val="32"/>
        </w:rPr>
      </w:pPr>
      <w:r>
        <w:rPr>
          <w:rFonts w:hint="eastAsia"/>
          <w:sz w:val="32"/>
          <w:szCs w:val="32"/>
        </w:rPr>
        <w:t>第四部分名词解释</w:t>
      </w:r>
    </w:p>
    <w:p>
      <w:pPr>
        <w:rPr>
          <w:sz w:val="32"/>
          <w:szCs w:val="32"/>
        </w:rPr>
      </w:pPr>
      <w:r>
        <w:rPr>
          <w:rFonts w:hint="eastAsia"/>
          <w:sz w:val="32"/>
          <w:szCs w:val="32"/>
        </w:rPr>
        <w:t>第五部分附件</w:t>
      </w:r>
    </w:p>
    <w:p/>
    <w:p/>
    <w:p/>
    <w:p/>
    <w:p/>
    <w:p/>
    <w:p/>
    <w:p/>
    <w:p/>
    <w:p/>
    <w:p/>
    <w:p/>
    <w:p/>
    <w:p/>
    <w:p/>
    <w:p/>
    <w:p/>
    <w:p/>
    <w:p/>
    <w:p/>
    <w:p/>
    <w:p/>
    <w:p/>
    <w:p/>
    <w:p/>
    <w:p/>
    <w:p/>
    <w:p/>
    <w:p/>
    <w:p/>
    <w:p/>
    <w:p>
      <w:pPr>
        <w:jc w:val="center"/>
        <w:rPr>
          <w:sz w:val="36"/>
          <w:szCs w:val="36"/>
        </w:rPr>
      </w:pPr>
      <w:r>
        <w:rPr>
          <w:rFonts w:hint="eastAsia"/>
          <w:sz w:val="36"/>
          <w:szCs w:val="36"/>
        </w:rPr>
        <w:t>第一部分湖南省林产品质量检验检测中心概况</w:t>
      </w:r>
    </w:p>
    <w:p/>
    <w:p>
      <w:pPr>
        <w:ind w:firstLine="640" w:firstLineChars="200"/>
        <w:rPr>
          <w:sz w:val="32"/>
          <w:szCs w:val="32"/>
        </w:rPr>
      </w:pPr>
      <w:r>
        <w:rPr>
          <w:rFonts w:hint="eastAsia"/>
          <w:sz w:val="32"/>
          <w:szCs w:val="32"/>
        </w:rPr>
        <w:t>一、部门职责</w:t>
      </w:r>
    </w:p>
    <w:p>
      <w:pPr>
        <w:pStyle w:val="9"/>
        <w:snapToGrid w:val="0"/>
        <w:spacing w:line="520" w:lineRule="exact"/>
        <w:ind w:left="160" w:leftChars="76" w:firstLine="640"/>
        <w:rPr>
          <w:sz w:val="32"/>
          <w:szCs w:val="32"/>
        </w:rPr>
      </w:pPr>
      <w:r>
        <w:rPr>
          <w:sz w:val="32"/>
          <w:szCs w:val="32"/>
        </w:rPr>
        <w:t>为林产品质量提供检验保障、木竹藤材及制品、林化产品、生物质能源、森林食品及产地环境、林木种苗花卉检验、仲裁与监督抽查及委托检验、技术咨询培训服务</w:t>
      </w:r>
      <w:r>
        <w:rPr>
          <w:rFonts w:hint="eastAsia"/>
          <w:sz w:val="32"/>
          <w:szCs w:val="32"/>
        </w:rPr>
        <w:t>；林木种苗质量检验检测服务。</w:t>
      </w:r>
    </w:p>
    <w:p>
      <w:pPr>
        <w:ind w:firstLine="640" w:firstLineChars="200"/>
        <w:rPr>
          <w:sz w:val="32"/>
          <w:szCs w:val="32"/>
        </w:rPr>
      </w:pPr>
      <w:r>
        <w:rPr>
          <w:rFonts w:hint="eastAsia"/>
          <w:sz w:val="32"/>
          <w:szCs w:val="32"/>
        </w:rPr>
        <w:t>二、机构设置及决算单位构成</w:t>
      </w:r>
    </w:p>
    <w:p>
      <w:pPr>
        <w:spacing w:line="600" w:lineRule="exact"/>
        <w:ind w:firstLine="640" w:firstLineChars="200"/>
        <w:rPr>
          <w:sz w:val="32"/>
          <w:szCs w:val="32"/>
        </w:rPr>
      </w:pPr>
      <w:r>
        <w:rPr>
          <w:rFonts w:hint="eastAsia"/>
          <w:sz w:val="32"/>
          <w:szCs w:val="32"/>
        </w:rPr>
        <w:t>湖南省林产品质量检验检测中心设</w:t>
      </w:r>
      <w:r>
        <w:rPr>
          <w:rFonts w:ascii="Calibri" w:hAnsi="Calibri" w:eastAsia="宋体" w:cs="Times New Roman"/>
          <w:sz w:val="32"/>
          <w:szCs w:val="32"/>
        </w:rPr>
        <w:t>综合财务科</w:t>
      </w:r>
      <w:r>
        <w:rPr>
          <w:rFonts w:hint="eastAsia"/>
          <w:sz w:val="32"/>
          <w:szCs w:val="32"/>
        </w:rPr>
        <w:t>、</w:t>
      </w:r>
      <w:r>
        <w:rPr>
          <w:rFonts w:ascii="Calibri" w:hAnsi="Calibri" w:eastAsia="宋体" w:cs="Times New Roman"/>
          <w:sz w:val="32"/>
          <w:szCs w:val="32"/>
        </w:rPr>
        <w:t>质量技术科</w:t>
      </w:r>
      <w:r>
        <w:rPr>
          <w:rFonts w:hint="eastAsia"/>
          <w:sz w:val="32"/>
          <w:szCs w:val="32"/>
        </w:rPr>
        <w:t>、</w:t>
      </w:r>
      <w:r>
        <w:rPr>
          <w:rFonts w:ascii="Calibri" w:hAnsi="Calibri" w:eastAsia="宋体" w:cs="Times New Roman"/>
          <w:sz w:val="32"/>
          <w:szCs w:val="32"/>
        </w:rPr>
        <w:t>竹木产品检测科</w:t>
      </w:r>
      <w:r>
        <w:rPr>
          <w:rFonts w:hint="eastAsia"/>
          <w:sz w:val="32"/>
          <w:szCs w:val="32"/>
        </w:rPr>
        <w:t>、</w:t>
      </w:r>
      <w:r>
        <w:rPr>
          <w:rFonts w:ascii="Calibri" w:hAnsi="Calibri" w:eastAsia="宋体" w:cs="Times New Roman"/>
          <w:sz w:val="32"/>
          <w:szCs w:val="32"/>
        </w:rPr>
        <w:t>森林食品和环境检测科</w:t>
      </w:r>
      <w:r>
        <w:rPr>
          <w:rFonts w:hint="eastAsia"/>
          <w:sz w:val="32"/>
          <w:szCs w:val="32"/>
        </w:rPr>
        <w:t>、</w:t>
      </w:r>
      <w:r>
        <w:rPr>
          <w:rFonts w:ascii="Calibri" w:hAnsi="Calibri" w:eastAsia="宋体" w:cs="Times New Roman"/>
          <w:sz w:val="32"/>
          <w:szCs w:val="32"/>
        </w:rPr>
        <w:t>种苗检测科</w:t>
      </w:r>
      <w:r>
        <w:rPr>
          <w:rFonts w:hint="eastAsia"/>
          <w:sz w:val="32"/>
          <w:szCs w:val="32"/>
        </w:rPr>
        <w:t>共5个科室。为湖南省林业局所属二级预算单位。</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6"/>
          <w:szCs w:val="36"/>
        </w:rPr>
      </w:pPr>
    </w:p>
    <w:p>
      <w:pPr>
        <w:jc w:val="center"/>
        <w:rPr>
          <w:sz w:val="36"/>
          <w:szCs w:val="36"/>
        </w:rPr>
      </w:pPr>
      <w:r>
        <w:rPr>
          <w:rFonts w:hint="eastAsia"/>
          <w:sz w:val="36"/>
          <w:szCs w:val="36"/>
        </w:rPr>
        <w:t>第二部分部门决算表</w:t>
      </w:r>
    </w:p>
    <w:p>
      <w:pPr>
        <w:rPr>
          <w:sz w:val="32"/>
          <w:szCs w:val="32"/>
        </w:rPr>
      </w:pPr>
    </w:p>
    <w:p>
      <w:pPr>
        <w:jc w:val="center"/>
        <w:rPr>
          <w:sz w:val="32"/>
          <w:szCs w:val="32"/>
        </w:rPr>
      </w:pPr>
      <w:r>
        <w:rPr>
          <w:rFonts w:hint="eastAsia"/>
          <w:sz w:val="32"/>
          <w:szCs w:val="32"/>
        </w:rPr>
        <w:t>收入支出决算总表</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3028"/>
        <w:gridCol w:w="682"/>
        <w:gridCol w:w="937"/>
        <w:gridCol w:w="2175"/>
        <w:gridCol w:w="520"/>
        <w:gridCol w:w="1378"/>
      </w:tblGrid>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536"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1247"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298"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789" w:type="pct"/>
            <w:tcBorders>
              <w:top w:val="nil"/>
              <w:left w:val="nil"/>
              <w:bottom w:val="nil"/>
              <w:right w:val="nil"/>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部门：湖南省林产品质量检验检测中心</w:t>
            </w:r>
          </w:p>
        </w:tc>
        <w:tc>
          <w:tcPr>
            <w:tcW w:w="391"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536" w:type="pct"/>
            <w:tcBorders>
              <w:top w:val="nil"/>
              <w:left w:val="nil"/>
              <w:bottom w:val="nil"/>
              <w:right w:val="nil"/>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2020年度</w:t>
            </w:r>
          </w:p>
        </w:tc>
        <w:tc>
          <w:tcPr>
            <w:tcW w:w="1247"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298"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789" w:type="pct"/>
            <w:tcBorders>
              <w:top w:val="nil"/>
              <w:left w:val="nil"/>
              <w:bottom w:val="nil"/>
              <w:right w:val="nil"/>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shd w:val="clear" w:color="auto" w:fill="FFFFFF" w:themeFill="background1"/>
          <w:tblCellMar>
            <w:top w:w="0" w:type="dxa"/>
            <w:left w:w="108" w:type="dxa"/>
            <w:bottom w:w="0" w:type="dxa"/>
            <w:right w:w="108" w:type="dxa"/>
          </w:tblCellMar>
        </w:tblPrEx>
        <w:trPr>
          <w:trHeight w:val="300" w:hRule="atLeast"/>
        </w:trPr>
        <w:tc>
          <w:tcPr>
            <w:tcW w:w="2664"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收入</w:t>
            </w:r>
          </w:p>
        </w:tc>
        <w:tc>
          <w:tcPr>
            <w:tcW w:w="233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支出</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834.30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3.50</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三、国有资本经营预算财政拨款收入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四、上级补助收入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五、事业收入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2.00</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六、经营收入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1.56</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七、附属单位上缴收入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八、其他收入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45.63</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28.45</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616.38</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十四、资源勘探工业信息等支出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28.88</w:t>
            </w: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二十一、国有资本经营预算支出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二十二、灾害防治及应急管理支出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二十三、其他支出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二十四、债务还本支出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二十五、债务付息支出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二十六、抗疫特别国债安排的支出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本年收入合计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879.93</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本年支出合计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680.76</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使用非财政拨款结余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77.98</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结余分配</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8.06</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60</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285.22</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61</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391" w:type="pct"/>
            <w:tcBorders>
              <w:top w:val="nil"/>
              <w:left w:val="nil"/>
              <w:bottom w:val="single" w:color="000000" w:sz="12"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965.98</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62</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965.98</w:t>
            </w:r>
          </w:p>
        </w:tc>
      </w:tr>
    </w:tbl>
    <w:p>
      <w:pPr>
        <w:rPr>
          <w:sz w:val="32"/>
          <w:szCs w:val="32"/>
        </w:rPr>
      </w:pPr>
    </w:p>
    <w:p>
      <w:pPr>
        <w:rPr>
          <w:sz w:val="32"/>
          <w:szCs w:val="32"/>
        </w:rPr>
      </w:pPr>
    </w:p>
    <w:p>
      <w:pPr>
        <w:jc w:val="center"/>
        <w:rPr>
          <w:sz w:val="32"/>
          <w:szCs w:val="32"/>
        </w:rPr>
      </w:pPr>
      <w:r>
        <w:rPr>
          <w:rFonts w:hint="eastAsia"/>
          <w:sz w:val="32"/>
          <w:szCs w:val="32"/>
        </w:rPr>
        <w:t>收入决算表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公开02表</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部门：湖南省林产品质量检验检测中心             2020年度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1255"/>
        <w:gridCol w:w="1409"/>
        <w:gridCol w:w="947"/>
        <w:gridCol w:w="947"/>
        <w:gridCol w:w="851"/>
        <w:gridCol w:w="863"/>
        <w:gridCol w:w="869"/>
        <w:gridCol w:w="623"/>
        <w:gridCol w:w="956"/>
      </w:tblGrid>
      <w:tr>
        <w:tblPrEx>
          <w:shd w:val="clear" w:color="auto" w:fill="FFFFFF" w:themeFill="background1"/>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本年收入合计</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财政拨款收入</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上级补助收入</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事业收入</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经营收入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附属单位上缴收入</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其他收入</w:t>
            </w:r>
          </w:p>
        </w:tc>
      </w:tr>
      <w:tr>
        <w:tblPrEx>
          <w:shd w:val="clear" w:color="auto" w:fill="FFFFFF" w:themeFill="background1"/>
          <w:tblCellMar>
            <w:top w:w="0" w:type="dxa"/>
            <w:left w:w="108" w:type="dxa"/>
            <w:bottom w:w="0" w:type="dxa"/>
            <w:right w:w="108" w:type="dxa"/>
          </w:tblCellMar>
        </w:tblPrEx>
        <w:trPr>
          <w:trHeight w:val="312" w:hRule="atLeast"/>
        </w:trPr>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r>
      <w:tr>
        <w:tblPrEx>
          <w:shd w:val="clear" w:color="auto" w:fill="FFFFFF" w:themeFill="background1"/>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879.93</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834.30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45.63</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201</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20138</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ind w:firstLine="195" w:firstLineChars="97"/>
            </w:pPr>
            <w:r>
              <w:rPr>
                <w:rFonts w:hint="eastAsia" w:cs="Arial"/>
                <w:b/>
                <w:bCs/>
                <w:sz w:val="20"/>
                <w:szCs w:val="20"/>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2013810</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质量基础</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ind w:firstLine="98" w:firstLineChars="49"/>
            </w:pPr>
            <w:r>
              <w:rPr>
                <w:rFonts w:hint="eastAsia" w:cs="Arial"/>
                <w:b/>
                <w:bCs/>
                <w:sz w:val="20"/>
                <w:szCs w:val="20"/>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205</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ind w:firstLine="98" w:firstLineChars="49"/>
            </w:pPr>
            <w:r>
              <w:rPr>
                <w:rFonts w:hint="eastAsia" w:cs="Arial"/>
                <w:b/>
                <w:bCs/>
                <w:sz w:val="20"/>
                <w:szCs w:val="20"/>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20508</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ind w:firstLine="98" w:firstLineChars="49"/>
            </w:pPr>
            <w:r>
              <w:rPr>
                <w:rFonts w:hint="eastAsia" w:cs="Arial"/>
                <w:b/>
                <w:bCs/>
                <w:sz w:val="20"/>
                <w:szCs w:val="20"/>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cs="Arial"/>
                <w:sz w:val="20"/>
                <w:szCs w:val="20"/>
              </w:rPr>
            </w:pPr>
            <w:r>
              <w:rPr>
                <w:rFonts w:hint="eastAsia" w:cs="Arial"/>
                <w:sz w:val="20"/>
                <w:szCs w:val="20"/>
              </w:rPr>
              <w:t>2050803</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cs="Arial"/>
                <w:sz w:val="20"/>
                <w:szCs w:val="20"/>
              </w:rPr>
            </w:pPr>
            <w:r>
              <w:rPr>
                <w:rFonts w:hint="eastAsia" w:cs="Arial"/>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ind w:firstLine="98" w:firstLineChars="49"/>
            </w:pPr>
            <w:r>
              <w:rPr>
                <w:rFonts w:hint="eastAsia" w:cs="Arial"/>
                <w:b/>
                <w:bCs/>
                <w:sz w:val="20"/>
                <w:szCs w:val="20"/>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eastAsia" w:ascii="宋体" w:hAnsi="宋体" w:eastAsia="宋体" w:cs="宋体"/>
                <w:b/>
                <w:bCs/>
                <w:color w:val="000000"/>
                <w:kern w:val="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38.00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38.00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20805</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行政事业单位养老支出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38.00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38.00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38.00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38.00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农林水支出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805.93</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760.30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45.63</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21302</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林业和草原</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805.93</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760.30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45.63</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2130204</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事业机构</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422.93</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377.30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45.63</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2130205</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森林资源培育</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38.00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38.00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2130206</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技术推广与转化</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10.00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2130221</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xml:space="preserve">  产业化管理</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30.00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2130299</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其他林业和草原支出</w:t>
            </w:r>
          </w:p>
          <w:p>
            <w:pPr>
              <w:widowControl/>
              <w:jc w:val="left"/>
              <w:textAlignment w:val="center"/>
              <w:rPr>
                <w:rFonts w:hint="eastAsia" w:ascii="宋体" w:hAnsi="宋体" w:eastAsia="宋体" w:cs="宋体"/>
                <w:color w:val="000000"/>
                <w:kern w:val="0"/>
                <w:sz w:val="16"/>
                <w:szCs w:val="16"/>
              </w:rPr>
            </w:pP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305.00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305.00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住房保障支出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30.00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22102</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住房改革支出</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30.00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2210201</w:t>
            </w:r>
          </w:p>
        </w:tc>
        <w:tc>
          <w:tcPr>
            <w:tcW w:w="80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30.00</w:t>
            </w:r>
          </w:p>
        </w:tc>
        <w:tc>
          <w:tcPr>
            <w:tcW w:w="543"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30.00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pPr>
        <w:rPr>
          <w:sz w:val="32"/>
          <w:szCs w:val="32"/>
        </w:rPr>
      </w:pPr>
    </w:p>
    <w:p>
      <w:pPr>
        <w:rPr>
          <w:sz w:val="32"/>
          <w:szCs w:val="32"/>
        </w:rPr>
      </w:pPr>
    </w:p>
    <w:p>
      <w:pPr>
        <w:rPr>
          <w:sz w:val="32"/>
          <w:szCs w:val="32"/>
        </w:rPr>
      </w:pPr>
    </w:p>
    <w:p>
      <w:pPr>
        <w:jc w:val="center"/>
        <w:rPr>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p>
    <w:p>
      <w:pPr>
        <w:jc w:val="center"/>
        <w:rPr>
          <w:sz w:val="32"/>
          <w:szCs w:val="32"/>
        </w:rPr>
      </w:pPr>
      <w:r>
        <w:rPr>
          <w:rFonts w:hint="eastAsia"/>
          <w:sz w:val="32"/>
          <w:szCs w:val="32"/>
        </w:rPr>
        <w:t>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公开03表</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部门：湖南省林产品质量检验检测中心              2020年度                                      单位：万元</w:t>
      </w:r>
    </w:p>
    <w:tbl>
      <w:tblPr>
        <w:tblStyle w:val="5"/>
        <w:tblW w:w="8429" w:type="dxa"/>
        <w:tblInd w:w="93" w:type="dxa"/>
        <w:shd w:val="clear" w:color="auto" w:fill="FFFFFF" w:themeFill="background1"/>
        <w:tblLayout w:type="fixed"/>
        <w:tblCellMar>
          <w:top w:w="0" w:type="dxa"/>
          <w:left w:w="108" w:type="dxa"/>
          <w:bottom w:w="0" w:type="dxa"/>
          <w:right w:w="108" w:type="dxa"/>
        </w:tblCellMar>
      </w:tblPr>
      <w:tblGrid>
        <w:gridCol w:w="1122"/>
        <w:gridCol w:w="1404"/>
        <w:gridCol w:w="983"/>
        <w:gridCol w:w="983"/>
        <w:gridCol w:w="983"/>
        <w:gridCol w:w="983"/>
        <w:gridCol w:w="983"/>
        <w:gridCol w:w="988"/>
      </w:tblGrid>
      <w:tr>
        <w:tblPrEx>
          <w:shd w:val="clear" w:color="auto" w:fill="FFFFFF" w:themeFill="background1"/>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本年支出合计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上缴上级支出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对附属单位补助支出</w:t>
            </w:r>
          </w:p>
        </w:tc>
      </w:tr>
      <w:tr>
        <w:tblPrEx>
          <w:shd w:val="clear" w:color="auto" w:fill="FFFFFF" w:themeFill="background1"/>
          <w:tblCellMar>
            <w:top w:w="0" w:type="dxa"/>
            <w:left w:w="108" w:type="dxa"/>
            <w:bottom w:w="0" w:type="dxa"/>
            <w:right w:w="108" w:type="dxa"/>
          </w:tblCellMar>
        </w:tblPrEx>
        <w:trPr>
          <w:trHeight w:val="312"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tblPrEx>
          <w:shd w:val="clear" w:color="auto" w:fill="FFFFFF" w:themeFill="background1"/>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680.76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344.63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336.14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一般公共服务支出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3.50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3.50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20138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市场监督管理事务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3.50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3.50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2013810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质量基础</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3.50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3.50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教育支出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20508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进修及培训</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2050803</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培训支出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cs="Arial"/>
                <w:b/>
                <w:bCs/>
                <w:sz w:val="20"/>
                <w:szCs w:val="20"/>
              </w:rPr>
            </w:pPr>
            <w:r>
              <w:rPr>
                <w:rFonts w:hint="eastAsia" w:cs="Arial"/>
                <w:b/>
                <w:bCs/>
                <w:sz w:val="20"/>
                <w:szCs w:val="20"/>
              </w:rPr>
              <w:t>206</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cs="Arial"/>
                <w:b/>
                <w:bCs/>
                <w:sz w:val="20"/>
                <w:szCs w:val="20"/>
              </w:rPr>
            </w:pPr>
            <w:r>
              <w:rPr>
                <w:rFonts w:hint="eastAsia" w:cs="Arial"/>
                <w:b/>
                <w:bCs/>
                <w:sz w:val="20"/>
                <w:szCs w:val="20"/>
              </w:rPr>
              <w:t>科学技术支出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r>
              <w:rPr>
                <w:rFonts w:hint="eastAsia" w:cs="Arial"/>
                <w:sz w:val="20"/>
                <w:szCs w:val="20"/>
              </w:rPr>
              <w:t>1.56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r>
              <w:rPr>
                <w:rFonts w:hint="eastAsia" w:cs="Arial"/>
                <w:sz w:val="20"/>
                <w:szCs w:val="20"/>
              </w:rPr>
              <w:t>1.56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cs="Arial"/>
                <w:b/>
                <w:bCs/>
                <w:sz w:val="20"/>
                <w:szCs w:val="20"/>
              </w:rPr>
            </w:pPr>
            <w:r>
              <w:rPr>
                <w:rFonts w:hint="eastAsia" w:cs="Arial"/>
                <w:b/>
                <w:bCs/>
                <w:sz w:val="20"/>
                <w:szCs w:val="20"/>
              </w:rPr>
              <w:t>20604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cs="Arial"/>
                <w:b/>
                <w:bCs/>
                <w:sz w:val="20"/>
                <w:szCs w:val="20"/>
              </w:rPr>
            </w:pPr>
            <w:r>
              <w:rPr>
                <w:rFonts w:hint="eastAsia" w:cs="Arial"/>
                <w:b/>
                <w:bCs/>
                <w:sz w:val="20"/>
                <w:szCs w:val="20"/>
              </w:rPr>
              <w:t>技术研究与开发</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r>
              <w:rPr>
                <w:rFonts w:hint="eastAsia" w:cs="Arial"/>
                <w:sz w:val="20"/>
                <w:szCs w:val="20"/>
              </w:rPr>
              <w:t>1.56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r>
              <w:rPr>
                <w:rFonts w:hint="eastAsia" w:cs="Arial"/>
                <w:sz w:val="20"/>
                <w:szCs w:val="20"/>
              </w:rPr>
              <w:t>1.56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cs="Arial"/>
                <w:sz w:val="20"/>
                <w:szCs w:val="20"/>
              </w:rPr>
            </w:pPr>
            <w:r>
              <w:rPr>
                <w:rFonts w:hint="eastAsia" w:cs="Arial"/>
                <w:sz w:val="20"/>
                <w:szCs w:val="20"/>
              </w:rPr>
              <w:t>2060499</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cs="Arial"/>
                <w:sz w:val="20"/>
                <w:szCs w:val="20"/>
              </w:rPr>
            </w:pPr>
            <w:r>
              <w:rPr>
                <w:rFonts w:hint="eastAsia" w:cs="Arial"/>
                <w:sz w:val="20"/>
                <w:szCs w:val="20"/>
              </w:rPr>
              <w:t xml:space="preserve">  其他技术研究与开发支出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r>
              <w:rPr>
                <w:rFonts w:hint="eastAsia" w:cs="Arial"/>
                <w:sz w:val="20"/>
                <w:szCs w:val="20"/>
              </w:rPr>
              <w:t>1.56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r>
              <w:rPr>
                <w:rFonts w:hint="eastAsia" w:cs="Arial"/>
                <w:sz w:val="20"/>
                <w:szCs w:val="20"/>
              </w:rPr>
              <w:t>1.56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eastAsia" w:cs="Arial"/>
                <w:sz w:val="20"/>
                <w:szCs w:val="20"/>
              </w:rPr>
            </w:pP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社会保障和就业支出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28.45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28.45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行政事业单位养老支出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28.45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28.45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28.45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28.45</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农林水支出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616.38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287.30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329.08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林业和草原</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616.38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287.30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329.08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2130204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事业机构</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483.84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287.30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196.54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2130205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森林资源培育</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43.63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43.63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2130206</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技术推广与转化</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0.92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0.92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0.00</w:t>
            </w:r>
          </w:p>
        </w:tc>
      </w:tr>
      <w:tr>
        <w:tblPrEx>
          <w:shd w:val="clear" w:color="auto" w:fill="FFFFFF" w:themeFill="background1"/>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2130221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产业化管理</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14.36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14.36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2130299</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其他林业和草原支出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73.62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73.62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住房保障支出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28.88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28.88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住房改革支出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28.88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28.88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2210201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28.88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28.88</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55" w:hRule="atLeast"/>
        </w:trPr>
        <w:tc>
          <w:tcPr>
            <w:tcW w:w="8429" w:type="dxa"/>
            <w:gridSpan w:val="8"/>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rPr>
          <w:sz w:val="32"/>
          <w:szCs w:val="32"/>
        </w:rPr>
      </w:pPr>
    </w:p>
    <w:p>
      <w:pPr>
        <w:rPr>
          <w:sz w:val="32"/>
          <w:szCs w:val="32"/>
        </w:rPr>
      </w:pPr>
    </w:p>
    <w:p>
      <w:pPr>
        <w:rPr>
          <w:sz w:val="32"/>
          <w:szCs w:val="32"/>
        </w:rPr>
      </w:pPr>
    </w:p>
    <w:p>
      <w:pPr>
        <w:widowControl/>
        <w:textAlignment w:val="center"/>
        <w:rPr>
          <w:rFonts w:hint="eastAsia"/>
          <w:sz w:val="32"/>
          <w:szCs w:val="32"/>
        </w:rPr>
      </w:pPr>
    </w:p>
    <w:p>
      <w:pPr>
        <w:widowControl/>
        <w:jc w:val="center"/>
        <w:textAlignment w:val="center"/>
        <w:rPr>
          <w:sz w:val="32"/>
          <w:szCs w:val="32"/>
        </w:rPr>
      </w:pPr>
      <w:r>
        <w:rPr>
          <w:rFonts w:hint="eastAsia"/>
          <w:sz w:val="32"/>
          <w:szCs w:val="32"/>
        </w:rPr>
        <w:t>财政拨款收入支出决算总表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公开04表</w:t>
      </w:r>
    </w:p>
    <w:p>
      <w:pPr>
        <w:widowControl/>
        <w:textAlignment w:val="center"/>
        <w:rPr>
          <w:sz w:val="32"/>
          <w:szCs w:val="32"/>
        </w:rPr>
      </w:pPr>
      <w:r>
        <w:rPr>
          <w:rFonts w:hint="eastAsia" w:ascii="宋体" w:hAnsi="宋体" w:eastAsia="宋体" w:cs="宋体"/>
          <w:color w:val="000000"/>
          <w:kern w:val="0"/>
          <w:sz w:val="16"/>
          <w:szCs w:val="16"/>
        </w:rPr>
        <w:t>部门：湖南省林产品质量检验检测中心          2020年度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1536"/>
        <w:gridCol w:w="399"/>
        <w:gridCol w:w="968"/>
        <w:gridCol w:w="1535"/>
        <w:gridCol w:w="401"/>
        <w:gridCol w:w="968"/>
        <w:gridCol w:w="968"/>
        <w:gridCol w:w="968"/>
        <w:gridCol w:w="977"/>
      </w:tblGrid>
      <w:tr>
        <w:tblPrEx>
          <w:shd w:val="clear" w:color="auto" w:fill="FFFFFF" w:themeFill="background1"/>
          <w:tblCellMar>
            <w:top w:w="0" w:type="dxa"/>
            <w:left w:w="108" w:type="dxa"/>
            <w:bottom w:w="0" w:type="dxa"/>
            <w:right w:w="108" w:type="dxa"/>
          </w:tblCellMar>
        </w:tblPrEx>
        <w:trPr>
          <w:trHeight w:val="255" w:hRule="atLeast"/>
        </w:trPr>
        <w:tc>
          <w:tcPr>
            <w:tcW w:w="2545"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收     入</w:t>
            </w:r>
          </w:p>
        </w:tc>
        <w:tc>
          <w:tcPr>
            <w:tcW w:w="2455"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支     出</w:t>
            </w:r>
          </w:p>
        </w:tc>
      </w:tr>
      <w:tr>
        <w:tblPrEx>
          <w:shd w:val="clear" w:color="auto" w:fill="FFFFFF" w:themeFill="background1"/>
          <w:tblCellMar>
            <w:top w:w="0" w:type="dxa"/>
            <w:left w:w="108" w:type="dxa"/>
            <w:bottom w:w="0" w:type="dxa"/>
            <w:right w:w="108" w:type="dxa"/>
          </w:tblCellMar>
        </w:tblPrEx>
        <w:trPr>
          <w:trHeight w:val="312" w:hRule="atLeast"/>
        </w:trPr>
        <w:tc>
          <w:tcPr>
            <w:tcW w:w="88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金额</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项目</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合计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一般公共预算财政拨款</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政府性基金预算财政拨款</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国有资本经营预算财政拨款</w:t>
            </w:r>
          </w:p>
        </w:tc>
      </w:tr>
      <w:tr>
        <w:tblPrEx>
          <w:shd w:val="clear" w:color="auto" w:fill="FFFFFF" w:themeFill="background1"/>
          <w:tblCellMar>
            <w:top w:w="0" w:type="dxa"/>
            <w:left w:w="108" w:type="dxa"/>
            <w:bottom w:w="0" w:type="dxa"/>
            <w:right w:w="108" w:type="dxa"/>
          </w:tblCellMar>
        </w:tblPrEx>
        <w:trPr>
          <w:trHeight w:val="312" w:hRule="atLeast"/>
        </w:trPr>
        <w:tc>
          <w:tcPr>
            <w:tcW w:w="88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eastAsia="宋体" w:cs="宋体"/>
                <w:color w:val="000000"/>
                <w:sz w:val="15"/>
                <w:szCs w:val="15"/>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rPr>
                <w:rFonts w:ascii="宋体" w:hAnsi="宋体" w:eastAsia="宋体" w:cs="宋体"/>
                <w:color w:val="000000"/>
                <w:sz w:val="15"/>
                <w:szCs w:val="15"/>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栏次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widowControl/>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rPr>
              <w:t>栏次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w:t>
            </w: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834.30</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一、一般公共服务支出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3.50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3.50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二、外交支出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三、国有资本经营财政拨款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三、国防支出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四、公共安全支出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五、教育支出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六、科学技术支出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1.56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1.56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七、文化旅游体育与传媒支出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八、社会保障和就业支出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28.45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28.45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九、卫生健康支出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十、节能环保支出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十一、城乡社区支出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十二、农林水支出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492.76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492.76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十三、交通运输支出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十四、资源勘探工业信息等支出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十五、商业服务业等支出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十六、金融支出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十七、援助其他地区支出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十八、自然资源海洋气象等支出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十九、住房保障支出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28.88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28.88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二十、粮油物资储备支出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二十一、国有资本经营预算支出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二十二、灾害防治及应急管理支出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二十三、其他支出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二十四、债务还本支出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二十五、债务付息支出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二十六、抗疫特别国债安排的支出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本年收入合计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834.30</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本年支出合计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557.15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557.15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年初财政拨款结转和结余</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8.06</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年末财政拨款结转和结余</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285.22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285.22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8.06</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国有资本经营预算财政拨款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总计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842.36</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rPr>
              <w:t>总计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842.36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842.36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bl>
    <w:p>
      <w:pPr>
        <w:rPr>
          <w:sz w:val="16"/>
          <w:szCs w:val="16"/>
        </w:rPr>
      </w:pPr>
      <w:r>
        <w:rPr>
          <w:rFonts w:hint="eastAsia"/>
          <w:sz w:val="16"/>
          <w:szCs w:val="16"/>
        </w:rPr>
        <w:t>注：本表反映部门本年度一般公共预算财政拨款、政府性基金预算财政拨款和国有资本经营预算财政拨款的总收支和年末结转结余情况。</w:t>
      </w: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公开05表</w:t>
      </w:r>
    </w:p>
    <w:p>
      <w:pPr>
        <w:widowControl/>
        <w:textAlignment w:val="center"/>
        <w:rPr>
          <w:sz w:val="32"/>
          <w:szCs w:val="32"/>
        </w:rPr>
      </w:pPr>
      <w:r>
        <w:rPr>
          <w:rFonts w:hint="eastAsia" w:ascii="宋体" w:hAnsi="宋体" w:eastAsia="宋体" w:cs="宋体"/>
          <w:color w:val="000000"/>
          <w:kern w:val="0"/>
          <w:sz w:val="16"/>
          <w:szCs w:val="16"/>
        </w:rPr>
        <w:t>部门：湖南省林产品质量检验检测中心             2020年度                                      单位：万元</w:t>
      </w:r>
    </w:p>
    <w:tbl>
      <w:tblPr>
        <w:tblStyle w:val="5"/>
        <w:tblW w:w="8417" w:type="dxa"/>
        <w:tblInd w:w="93" w:type="dxa"/>
        <w:shd w:val="clear" w:color="auto" w:fill="FFFFFF" w:themeFill="background1"/>
        <w:tblLayout w:type="fixed"/>
        <w:tblCellMar>
          <w:top w:w="0" w:type="dxa"/>
          <w:left w:w="108" w:type="dxa"/>
          <w:bottom w:w="0" w:type="dxa"/>
          <w:right w:w="108" w:type="dxa"/>
        </w:tblCellMar>
      </w:tblPr>
      <w:tblGrid>
        <w:gridCol w:w="1190"/>
        <w:gridCol w:w="3342"/>
        <w:gridCol w:w="1295"/>
        <w:gridCol w:w="1295"/>
        <w:gridCol w:w="1295"/>
      </w:tblGrid>
      <w:tr>
        <w:tblPrEx>
          <w:shd w:val="clear" w:color="auto" w:fill="FFFFFF" w:themeFill="background1"/>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tblPrEx>
          <w:shd w:val="clear" w:color="auto" w:fill="FFFFFF" w:themeFill="background1"/>
          <w:tblCellMar>
            <w:top w:w="0" w:type="dxa"/>
            <w:left w:w="108" w:type="dxa"/>
            <w:bottom w:w="0" w:type="dxa"/>
            <w:right w:w="108" w:type="dxa"/>
          </w:tblCellMar>
        </w:tblPrEx>
        <w:trPr>
          <w:trHeight w:val="312"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33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tblPrEx>
          <w:shd w:val="clear" w:color="auto" w:fill="FFFFFF" w:themeFill="background1"/>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tblPrEx>
          <w:shd w:val="clear" w:color="auto" w:fill="FFFFFF" w:themeFill="background1"/>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557.15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344.63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212.52</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一般公共服务支出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3.50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3.50</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20138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市场监督管理事务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3.50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3.50</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2013810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质量基础</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3.50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3.50</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教育支出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20508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进修及培训</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2.00</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2050803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培训支出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2.00</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科学技术支出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1.56</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1.56</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20604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技术研究与开发</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1.56</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1.56</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2060499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其他技术研究与开发支出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1.56</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1.56</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社会保障和就业支出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28.45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28.45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20805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行政事业单位养老支出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28.45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28.45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　</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2080505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机关事业单位基本养老保险缴费支出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28.45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28.45</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213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农林水支出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492.76</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287.30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205.46</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21302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林业和草原</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492.76</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287.30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205.46</w:t>
            </w:r>
          </w:p>
        </w:tc>
      </w:tr>
      <w:tr>
        <w:tblPrEx>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2130204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事业机构</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360.23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287.30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72.93</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森林资源培育</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43.63</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43.63</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2130206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技术推广与转化</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0.92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0.92</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2130221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产业化管理</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14.36</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14.36</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2130299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其他林业和草原支出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73.62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　</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73.62</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221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住房保障支出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28.88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28.88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22102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b/>
                <w:bCs/>
                <w:sz w:val="20"/>
                <w:szCs w:val="20"/>
              </w:rPr>
            </w:pPr>
            <w:r>
              <w:rPr>
                <w:rFonts w:hint="eastAsia" w:cs="Arial"/>
                <w:b/>
                <w:bCs/>
                <w:sz w:val="20"/>
                <w:szCs w:val="20"/>
              </w:rPr>
              <w:t>住房改革支出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28.88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b/>
                <w:bCs/>
                <w:sz w:val="20"/>
                <w:szCs w:val="20"/>
              </w:rPr>
            </w:pPr>
            <w:r>
              <w:rPr>
                <w:rFonts w:hint="eastAsia" w:cs="Arial"/>
                <w:b/>
                <w:bCs/>
                <w:sz w:val="20"/>
                <w:szCs w:val="20"/>
              </w:rPr>
              <w:t>28.88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2210201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宋体" w:hAnsi="宋体" w:eastAsia="宋体" w:cs="Arial"/>
                <w:sz w:val="20"/>
                <w:szCs w:val="20"/>
              </w:rPr>
            </w:pPr>
            <w:r>
              <w:rPr>
                <w:rFonts w:hint="eastAsia" w:cs="Arial"/>
                <w:sz w:val="20"/>
                <w:szCs w:val="20"/>
              </w:rPr>
              <w:t xml:space="preserve">  住房公积金</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28.88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28.88</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417" w:type="dxa"/>
            <w:gridSpan w:val="5"/>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widowControl/>
        <w:textAlignment w:val="center"/>
        <w:rPr>
          <w:rFonts w:hint="eastAsia"/>
          <w:sz w:val="32"/>
          <w:szCs w:val="32"/>
        </w:rPr>
      </w:pPr>
    </w:p>
    <w:p>
      <w:pPr>
        <w:widowControl/>
        <w:jc w:val="center"/>
        <w:textAlignment w:val="center"/>
        <w:rPr>
          <w:sz w:val="32"/>
          <w:szCs w:val="32"/>
        </w:rPr>
      </w:pPr>
      <w:r>
        <w:rPr>
          <w:rFonts w:hint="eastAsia"/>
          <w:sz w:val="32"/>
          <w:szCs w:val="32"/>
        </w:rPr>
        <w:t>一般公共预算财政拨款基本支出决算表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公开06表</w:t>
      </w:r>
    </w:p>
    <w:p>
      <w:pPr>
        <w:widowControl/>
        <w:textAlignment w:val="center"/>
        <w:rPr>
          <w:sz w:val="32"/>
          <w:szCs w:val="32"/>
        </w:rPr>
      </w:pPr>
      <w:r>
        <w:rPr>
          <w:rFonts w:hint="eastAsia" w:ascii="宋体" w:hAnsi="宋体" w:eastAsia="宋体" w:cs="宋体"/>
          <w:color w:val="000000"/>
          <w:kern w:val="0"/>
          <w:sz w:val="16"/>
          <w:szCs w:val="16"/>
        </w:rPr>
        <w:t>部门：湖南省林产品质量检验检测中心              2020年度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680"/>
        <w:gridCol w:w="1496"/>
        <w:gridCol w:w="809"/>
        <w:gridCol w:w="684"/>
        <w:gridCol w:w="1125"/>
        <w:gridCol w:w="771"/>
        <w:gridCol w:w="628"/>
        <w:gridCol w:w="1676"/>
        <w:gridCol w:w="851"/>
      </w:tblGrid>
      <w:tr>
        <w:tblPrEx>
          <w:shd w:val="clear" w:color="auto" w:fill="FFFFFF" w:themeFill="background1"/>
          <w:tblCellMar>
            <w:top w:w="0" w:type="dxa"/>
            <w:left w:w="108" w:type="dxa"/>
            <w:bottom w:w="0" w:type="dxa"/>
            <w:right w:w="108" w:type="dxa"/>
          </w:tblCellMar>
        </w:tblPrEx>
        <w:trPr>
          <w:trHeight w:val="255" w:hRule="atLeast"/>
        </w:trPr>
        <w:tc>
          <w:tcPr>
            <w:tcW w:w="1712" w:type="pct"/>
            <w:gridSpan w:val="3"/>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w:t>
            </w:r>
          </w:p>
        </w:tc>
        <w:tc>
          <w:tcPr>
            <w:tcW w:w="3288" w:type="pct"/>
            <w:gridSpan w:val="6"/>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w:t>
            </w:r>
          </w:p>
        </w:tc>
      </w:tr>
      <w:tr>
        <w:tblPrEx>
          <w:shd w:val="clear" w:color="auto" w:fill="FFFFFF" w:themeFill="background1"/>
          <w:tblCellMar>
            <w:top w:w="0" w:type="dxa"/>
            <w:left w:w="108" w:type="dxa"/>
            <w:bottom w:w="0" w:type="dxa"/>
            <w:right w:w="108" w:type="dxa"/>
          </w:tblCellMar>
        </w:tblPrEx>
        <w:trPr>
          <w:trHeight w:val="312" w:hRule="atLeast"/>
        </w:trPr>
        <w:tc>
          <w:tcPr>
            <w:tcW w:w="390"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858"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464"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39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645"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44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360"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961"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488"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shd w:val="clear" w:color="auto" w:fill="FFFFFF" w:themeFill="background1"/>
          <w:tblCellMar>
            <w:top w:w="0" w:type="dxa"/>
            <w:left w:w="108" w:type="dxa"/>
            <w:bottom w:w="0" w:type="dxa"/>
            <w:right w:w="108" w:type="dxa"/>
          </w:tblCellMar>
        </w:tblPrEx>
        <w:trPr>
          <w:trHeight w:val="312" w:hRule="atLeast"/>
        </w:trPr>
        <w:tc>
          <w:tcPr>
            <w:tcW w:w="390"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8"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6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9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4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6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8"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315.85</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11.64</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基本工资</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63.58</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办公费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国内债务付息</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津贴补贴</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24.24</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印刷费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国外债务付息</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奖金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74.83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咨询费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伙食补助费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手续费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房屋建筑物购建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绩效工资</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57.96</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水费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办公设备购置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机关事业单位基本养老保险缴费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28.45</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电费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专用设备购置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0.`600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职业年金缴费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邮电费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基础设施建设</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职工基本医疗保险缴费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15.99</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取暖费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大型修缮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公务员医疗补助缴费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物业管理费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信息网络及软件购置更新</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其他社会保障缴费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2.52</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差旅费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物资储备</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住房公积金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48.28</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因公出国（境）费用</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土地补偿</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医疗费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维修（护）费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安置补助</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其他工资福利支出</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租赁费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地上附着物和青苗补偿</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17.13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会议费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拆迁补偿</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离休费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培训费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退休费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0.65</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其他交通工具购置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退职（役）费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专用材料费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31021</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文物和陈列品购置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抚恤金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被装购置费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31022</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无形资产购置</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生活补助</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专用燃料费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其他资本性支出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救济费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劳务费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医疗费补助</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委托业务费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39906</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赠与</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助学金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工会经费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5.00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39907</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国家赔偿费用支出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奖励金</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13.11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福利费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39908</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对民间非营利组织和群众性自治组织补贴</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个人农业生产补贴</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ascii="宋体" w:hAnsi="宋体" w:eastAsia="宋体"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公务用车运行维护费</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39999</w:t>
            </w:r>
          </w:p>
        </w:tc>
        <w:tc>
          <w:tcPr>
            <w:tcW w:w="961"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shd w:val="clear" w:color="auto" w:fill="FFFFFF" w:themeFill="background1"/>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代缴社会保险费</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ascii="宋体" w:hAnsi="宋体" w:eastAsia="宋体" w:cs="Arial"/>
                <w:sz w:val="20"/>
                <w:szCs w:val="20"/>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2.99</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61"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858"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其他对个人和家庭的补助</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ascii="宋体" w:hAnsi="宋体" w:eastAsia="宋体" w:cs="Arial"/>
                <w:sz w:val="20"/>
                <w:szCs w:val="20"/>
              </w:rPr>
              <w:t>4.03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税金及附加费用</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61"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58"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64"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其他商品和服务支出</w:t>
            </w:r>
          </w:p>
        </w:tc>
        <w:tc>
          <w:tcPr>
            <w:tcW w:w="442"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61"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88"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24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464"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rPr>
              <w:t>332.98</w:t>
            </w:r>
          </w:p>
        </w:tc>
        <w:tc>
          <w:tcPr>
            <w:tcW w:w="2800" w:type="pct"/>
            <w:gridSpan w:val="5"/>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11.64</w:t>
            </w:r>
          </w:p>
          <w:p>
            <w:pPr>
              <w:widowControl/>
              <w:ind w:right="320"/>
              <w:jc w:val="center"/>
              <w:textAlignment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rPr>
          <w:sz w:val="32"/>
          <w:szCs w:val="32"/>
        </w:rPr>
      </w:pPr>
    </w:p>
    <w:p>
      <w:pP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一般公共预算财政拨款“三公”经费支出决算表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公开07表</w:t>
      </w:r>
    </w:p>
    <w:p>
      <w:pPr>
        <w:widowControl/>
        <w:textAlignment w:val="center"/>
        <w:rPr>
          <w:sz w:val="32"/>
          <w:szCs w:val="32"/>
        </w:rPr>
      </w:pPr>
      <w:r>
        <w:rPr>
          <w:rFonts w:hint="eastAsia" w:ascii="宋体" w:hAnsi="宋体" w:eastAsia="宋体" w:cs="宋体"/>
          <w:color w:val="000000"/>
          <w:kern w:val="0"/>
          <w:sz w:val="16"/>
          <w:szCs w:val="16"/>
        </w:rPr>
        <w:t>部门：湖南省林产品质量检验检测中心                2020年度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725"/>
        <w:gridCol w:w="725"/>
        <w:gridCol w:w="725"/>
        <w:gridCol w:w="725"/>
        <w:gridCol w:w="727"/>
        <w:gridCol w:w="729"/>
        <w:gridCol w:w="725"/>
        <w:gridCol w:w="725"/>
        <w:gridCol w:w="725"/>
        <w:gridCol w:w="725"/>
        <w:gridCol w:w="730"/>
        <w:gridCol w:w="732"/>
      </w:tblGrid>
      <w:tr>
        <w:tblPrEx>
          <w:shd w:val="clear" w:color="auto" w:fill="FFFFFF" w:themeFill="background1"/>
          <w:tblCellMar>
            <w:top w:w="0" w:type="dxa"/>
            <w:left w:w="108" w:type="dxa"/>
            <w:bottom w:w="0" w:type="dxa"/>
            <w:right w:w="108" w:type="dxa"/>
          </w:tblCellMar>
        </w:tblPrEx>
        <w:trPr>
          <w:trHeight w:val="300" w:hRule="atLeast"/>
        </w:trPr>
        <w:tc>
          <w:tcPr>
            <w:tcW w:w="2499"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2501"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CellMar>
            <w:top w:w="0" w:type="dxa"/>
            <w:left w:w="108" w:type="dxa"/>
            <w:bottom w:w="0" w:type="dxa"/>
            <w:right w:w="108" w:type="dxa"/>
          </w:tblCellMar>
        </w:tblPrEx>
        <w:trPr>
          <w:trHeight w:val="3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r>
      <w:tr>
        <w:tblPrEx>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6.00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4.00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2.00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3.71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3.06</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3.06</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Arial"/>
                <w:sz w:val="20"/>
                <w:szCs w:val="20"/>
              </w:rPr>
            </w:pPr>
            <w:r>
              <w:rPr>
                <w:rFonts w:hint="eastAsia" w:cs="Arial"/>
                <w:sz w:val="20"/>
                <w:szCs w:val="20"/>
              </w:rPr>
              <w:t>0.65</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政府性基金预算财政拨款收入支出决算表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公开08表</w:t>
      </w:r>
    </w:p>
    <w:p>
      <w:pPr>
        <w:widowControl/>
        <w:textAlignment w:val="center"/>
        <w:rPr>
          <w:sz w:val="32"/>
          <w:szCs w:val="32"/>
        </w:rPr>
      </w:pPr>
      <w:r>
        <w:rPr>
          <w:rFonts w:hint="eastAsia" w:ascii="宋体" w:hAnsi="宋体" w:eastAsia="宋体" w:cs="宋体"/>
          <w:color w:val="000000"/>
          <w:kern w:val="0"/>
          <w:sz w:val="16"/>
          <w:szCs w:val="16"/>
        </w:rPr>
        <w:t>部门：湖南省林产品质量检验检测中心                     2020年度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122"/>
        <w:gridCol w:w="1395"/>
        <w:gridCol w:w="1144"/>
        <w:gridCol w:w="980"/>
        <w:gridCol w:w="873"/>
        <w:gridCol w:w="1097"/>
        <w:gridCol w:w="1076"/>
        <w:gridCol w:w="1030"/>
      </w:tblGrid>
      <w:tr>
        <w:tblPrEx>
          <w:shd w:val="clear" w:color="auto" w:fill="FFFFFF" w:themeFill="background1"/>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w:t>
            </w:r>
          </w:p>
        </w:tc>
        <w:tc>
          <w:tcPr>
            <w:tcW w:w="17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r>
      <w:tr>
        <w:tblPrEx>
          <w:shd w:val="clear" w:color="auto" w:fill="FFFFFF" w:themeFill="background1"/>
          <w:tblCellMar>
            <w:top w:w="0" w:type="dxa"/>
            <w:left w:w="108" w:type="dxa"/>
            <w:bottom w:w="0" w:type="dxa"/>
            <w:right w:w="108" w:type="dxa"/>
          </w:tblCellMar>
        </w:tblPrEx>
        <w:trPr>
          <w:trHeight w:val="312"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4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7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注：本单位无政府性基金预算。</w:t>
            </w:r>
          </w:p>
        </w:tc>
      </w:tr>
    </w:tbl>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国有资本经营预算财政拨款支出决算表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公开09表</w:t>
      </w:r>
    </w:p>
    <w:p>
      <w:pPr>
        <w:widowControl/>
        <w:textAlignment w:val="center"/>
        <w:rPr>
          <w:sz w:val="32"/>
          <w:szCs w:val="32"/>
        </w:rPr>
      </w:pPr>
      <w:r>
        <w:rPr>
          <w:rFonts w:hint="eastAsia" w:ascii="宋体" w:hAnsi="宋体" w:eastAsia="宋体" w:cs="宋体"/>
          <w:color w:val="000000"/>
          <w:kern w:val="0"/>
          <w:sz w:val="16"/>
          <w:szCs w:val="16"/>
        </w:rPr>
        <w:t>部门：湖南省林产品质量检验检测中心                    2020年度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199"/>
        <w:gridCol w:w="2903"/>
        <w:gridCol w:w="1534"/>
        <w:gridCol w:w="1534"/>
        <w:gridCol w:w="1547"/>
      </w:tblGrid>
      <w:tr>
        <w:tblPrEx>
          <w:shd w:val="clear" w:color="auto" w:fill="FFFFFF" w:themeFill="background1"/>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2646"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tblPrEx>
          <w:tblCellMar>
            <w:top w:w="0" w:type="dxa"/>
            <w:left w:w="108" w:type="dxa"/>
            <w:bottom w:w="0" w:type="dxa"/>
            <w:right w:w="108" w:type="dxa"/>
          </w:tblCellMar>
        </w:tblPrEx>
        <w:trPr>
          <w:trHeight w:val="312" w:hRule="atLeast"/>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166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16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注：本单位无国有资本经营预算财政拨款支出情况。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44"/>
          <w:szCs w:val="44"/>
        </w:rPr>
      </w:pPr>
      <w:r>
        <w:rPr>
          <w:rFonts w:hint="eastAsia"/>
          <w:sz w:val="44"/>
          <w:szCs w:val="44"/>
        </w:rPr>
        <w:t>第三部分2020年度部门决算情况说明</w:t>
      </w:r>
    </w:p>
    <w:p>
      <w:pPr>
        <w:rPr>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ind w:firstLine="640" w:firstLineChars="200"/>
        <w:rPr>
          <w:rFonts w:ascii="Times New Roman" w:hAnsi="Times New Roman" w:eastAsia="仿宋_GB2312" w:cs="Times New Roman"/>
          <w:color w:val="000000"/>
          <w:sz w:val="32"/>
        </w:rPr>
      </w:pPr>
      <w:r>
        <w:rPr>
          <w:rFonts w:ascii="Times New Roman" w:hAnsi="Times New Roman" w:eastAsia="仿宋_GB2312" w:cs="Times New Roman"/>
          <w:sz w:val="32"/>
        </w:rPr>
        <w:t>2020</w:t>
      </w:r>
      <w:r>
        <w:rPr>
          <w:rFonts w:ascii="Times New Roman" w:eastAsia="仿宋_GB2312" w:cs="Times New Roman"/>
          <w:sz w:val="32"/>
        </w:rPr>
        <w:t>年度收入为</w:t>
      </w:r>
      <w:r>
        <w:rPr>
          <w:rFonts w:ascii="Times New Roman" w:hAnsi="Times New Roman" w:eastAsia="仿宋_GB2312" w:cs="Times New Roman"/>
          <w:sz w:val="32"/>
        </w:rPr>
        <w:t>879.93</w:t>
      </w:r>
      <w:r>
        <w:rPr>
          <w:rFonts w:ascii="Times New Roman" w:eastAsia="仿宋_GB2312" w:cs="Times New Roman"/>
          <w:sz w:val="32"/>
        </w:rPr>
        <w:t>万元。</w:t>
      </w:r>
      <w:r>
        <w:rPr>
          <w:rFonts w:ascii="Times New Roman" w:hAnsi="Times New Roman" w:eastAsia="仿宋_GB2312" w:cs="Times New Roman"/>
          <w:color w:val="000000"/>
          <w:sz w:val="32"/>
        </w:rPr>
        <w:t>本年收入比上年度增加44.48%，其中一般公共预算财政拨款收入本年度比上年度增加52.31%，主要是因本年财政项目资金收入增加；其他收入本年度比上年度减少25.52%，主要由于本年度国家林业和草原局项目收入减少。</w:t>
      </w:r>
    </w:p>
    <w:p>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rPr>
        <w:t>2020</w:t>
      </w:r>
      <w:r>
        <w:rPr>
          <w:rFonts w:ascii="Times New Roman" w:eastAsia="仿宋_GB2312" w:cs="Times New Roman"/>
          <w:sz w:val="32"/>
        </w:rPr>
        <w:t>年度支出为</w:t>
      </w:r>
      <w:r>
        <w:rPr>
          <w:rFonts w:ascii="Times New Roman" w:hAnsi="Times New Roman" w:eastAsia="仿宋_GB2312" w:cs="Times New Roman"/>
          <w:sz w:val="32"/>
        </w:rPr>
        <w:t>680.87</w:t>
      </w:r>
      <w:r>
        <w:rPr>
          <w:rFonts w:ascii="Times New Roman" w:eastAsia="仿宋_GB2312" w:cs="Times New Roman"/>
          <w:sz w:val="32"/>
        </w:rPr>
        <w:t>万元，比上年度减少</w:t>
      </w:r>
      <w:r>
        <w:rPr>
          <w:rFonts w:ascii="Times New Roman" w:hAnsi="Times New Roman" w:eastAsia="仿宋_GB2312" w:cs="Times New Roman"/>
          <w:sz w:val="32"/>
        </w:rPr>
        <w:t>1.52%</w:t>
      </w:r>
      <w:r>
        <w:rPr>
          <w:rFonts w:ascii="Times New Roman" w:eastAsia="仿宋_GB2312" w:cs="Times New Roman"/>
          <w:sz w:val="32"/>
        </w:rPr>
        <w:t>。</w:t>
      </w:r>
    </w:p>
    <w:p>
      <w:pPr>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二、收入决算情况说明</w:t>
      </w:r>
    </w:p>
    <w:p>
      <w:pPr>
        <w:ind w:firstLine="640" w:firstLineChars="200"/>
        <w:rPr>
          <w:rFonts w:ascii="仿宋_GB2312" w:hAnsi="仿宋_GB2312" w:eastAsia="仿宋_GB2312" w:cs="仿宋_GB2312"/>
          <w:sz w:val="32"/>
          <w:szCs w:val="32"/>
        </w:rPr>
      </w:pPr>
      <w:r>
        <w:rPr>
          <w:rFonts w:ascii="Times New Roman" w:hAnsi="仿宋_GB2312" w:eastAsia="仿宋_GB2312" w:cs="Times New Roman"/>
          <w:sz w:val="32"/>
          <w:szCs w:val="32"/>
        </w:rPr>
        <w:t>本年收入合计</w:t>
      </w:r>
      <w:r>
        <w:rPr>
          <w:rFonts w:ascii="Times New Roman" w:hAnsi="Times New Roman" w:eastAsia="仿宋_GB2312" w:cs="Times New Roman"/>
          <w:sz w:val="32"/>
        </w:rPr>
        <w:t>879.93</w:t>
      </w:r>
      <w:r>
        <w:rPr>
          <w:rFonts w:ascii="Times New Roman" w:hAnsi="仿宋_GB2312" w:eastAsia="仿宋_GB2312" w:cs="Times New Roman"/>
          <w:sz w:val="32"/>
          <w:szCs w:val="32"/>
        </w:rPr>
        <w:t>万元，其中：财政拨款收入</w:t>
      </w:r>
      <w:r>
        <w:rPr>
          <w:rFonts w:ascii="Times New Roman" w:hAnsi="Times New Roman" w:eastAsia="仿宋_GB2312" w:cs="Times New Roman"/>
          <w:sz w:val="32"/>
        </w:rPr>
        <w:t>834.30</w:t>
      </w:r>
      <w:r>
        <w:rPr>
          <w:rFonts w:ascii="Times New Roman" w:hAnsi="仿宋_GB2312" w:eastAsia="仿宋_GB2312" w:cs="Times New Roman"/>
          <w:sz w:val="32"/>
          <w:szCs w:val="32"/>
        </w:rPr>
        <w:t>万元，占</w:t>
      </w:r>
      <w:r>
        <w:rPr>
          <w:rFonts w:ascii="Times New Roman" w:hAnsi="Times New Roman" w:eastAsia="仿宋_GB2312" w:cs="Times New Roman"/>
          <w:sz w:val="32"/>
          <w:szCs w:val="32"/>
        </w:rPr>
        <w:t>94.81%%</w:t>
      </w:r>
      <w:r>
        <w:rPr>
          <w:rFonts w:ascii="Times New Roman" w:hAnsi="仿宋_GB2312" w:eastAsia="仿宋_GB2312" w:cs="Times New Roman"/>
          <w:sz w:val="32"/>
          <w:szCs w:val="32"/>
        </w:rPr>
        <w:t>；上级补助收入</w:t>
      </w:r>
      <w:r>
        <w:rPr>
          <w:rFonts w:ascii="Times New Roman" w:hAnsi="Times New Roman" w:eastAsia="仿宋_GB2312" w:cs="Times New Roman"/>
          <w:sz w:val="32"/>
          <w:szCs w:val="32"/>
        </w:rPr>
        <w:t>0</w:t>
      </w:r>
      <w:r>
        <w:rPr>
          <w:rFonts w:ascii="Times New Roman" w:hAnsi="仿宋_GB2312" w:eastAsia="仿宋_GB2312" w:cs="Times New Roman"/>
          <w:sz w:val="32"/>
          <w:szCs w:val="32"/>
        </w:rPr>
        <w:t>万元，占</w:t>
      </w:r>
      <w:r>
        <w:rPr>
          <w:rFonts w:hint="eastAsia" w:ascii="仿宋_GB2312" w:hAnsi="仿宋_GB2312" w:eastAsia="仿宋_GB2312" w:cs="仿宋_GB2312"/>
          <w:sz w:val="32"/>
          <w:szCs w:val="32"/>
        </w:rPr>
        <w:t>0%；事业收入0万元，占0%；经营收入0万元，占0%；附属单位上缴收入0万元，占0%；其他收入45.63万元，占5.19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本年支出合计680.76万元，其中：基本支出344.62万元，占51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；项目支出332.98万元，占49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%；上缴上级支出0万元，占0%；经营支出0万元，占0%；对附属单位补助支出0万元，占0%。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ind w:firstLine="640" w:firstLineChars="200"/>
        <w:rPr>
          <w:rFonts w:eastAsia="仿宋_GB2312"/>
          <w:sz w:val="32"/>
        </w:rPr>
      </w:pPr>
      <w:r>
        <w:rPr>
          <w:rFonts w:hint="eastAsia" w:eastAsia="仿宋_GB2312"/>
          <w:sz w:val="32"/>
        </w:rPr>
        <w:t>2020</w:t>
      </w:r>
      <w:r>
        <w:rPr>
          <w:rFonts w:eastAsia="仿宋_GB2312"/>
          <w:sz w:val="32"/>
        </w:rPr>
        <w:t>年度财政拨款收入8</w:t>
      </w:r>
      <w:r>
        <w:rPr>
          <w:rFonts w:hint="eastAsia" w:eastAsia="仿宋_GB2312"/>
          <w:sz w:val="32"/>
        </w:rPr>
        <w:t>34.30</w:t>
      </w:r>
      <w:r>
        <w:rPr>
          <w:rFonts w:eastAsia="仿宋_GB2312"/>
          <w:sz w:val="32"/>
        </w:rPr>
        <w:t>万元，比上年度</w:t>
      </w:r>
      <w:r>
        <w:rPr>
          <w:rFonts w:hint="eastAsia" w:eastAsia="仿宋_GB2312"/>
          <w:sz w:val="32"/>
        </w:rPr>
        <w:t>增加52.31</w:t>
      </w:r>
      <w:r>
        <w:rPr>
          <w:rFonts w:eastAsia="仿宋_GB2312"/>
          <w:sz w:val="32"/>
        </w:rPr>
        <w:t>%；本年度财政拨款支出为</w:t>
      </w:r>
      <w:r>
        <w:rPr>
          <w:rFonts w:hint="eastAsia" w:eastAsia="仿宋_GB2312"/>
          <w:sz w:val="32"/>
        </w:rPr>
        <w:t>557.15</w:t>
      </w:r>
      <w:r>
        <w:rPr>
          <w:rFonts w:eastAsia="仿宋_GB2312"/>
          <w:sz w:val="32"/>
        </w:rPr>
        <w:t>万元，比上年度</w:t>
      </w:r>
      <w:r>
        <w:rPr>
          <w:rFonts w:hint="eastAsia" w:eastAsia="仿宋_GB2312"/>
          <w:sz w:val="32"/>
        </w:rPr>
        <w:t>减少13.61</w:t>
      </w:r>
      <w:r>
        <w:rPr>
          <w:rFonts w:eastAsia="仿宋_GB2312"/>
          <w:sz w:val="32"/>
        </w:rPr>
        <w:t>%，其中：本年基本支出</w:t>
      </w:r>
      <w:r>
        <w:rPr>
          <w:rFonts w:hint="eastAsia" w:eastAsia="仿宋_GB2312"/>
          <w:sz w:val="32"/>
        </w:rPr>
        <w:t>344.63</w:t>
      </w:r>
      <w:r>
        <w:rPr>
          <w:rFonts w:eastAsia="仿宋_GB2312"/>
          <w:sz w:val="32"/>
        </w:rPr>
        <w:t>万元，比上年度增加</w:t>
      </w:r>
      <w:r>
        <w:rPr>
          <w:rFonts w:hint="eastAsia" w:eastAsia="仿宋_GB2312"/>
          <w:sz w:val="32"/>
        </w:rPr>
        <w:t>2.4</w:t>
      </w:r>
      <w:r>
        <w:rPr>
          <w:rFonts w:eastAsia="仿宋_GB2312"/>
          <w:sz w:val="32"/>
        </w:rPr>
        <w:t xml:space="preserve">%；项目支出 </w:t>
      </w:r>
      <w:r>
        <w:rPr>
          <w:rFonts w:hint="eastAsia" w:eastAsia="仿宋_GB2312"/>
          <w:sz w:val="32"/>
        </w:rPr>
        <w:t>212.52</w:t>
      </w:r>
      <w:r>
        <w:rPr>
          <w:rFonts w:eastAsia="仿宋_GB2312"/>
          <w:sz w:val="32"/>
        </w:rPr>
        <w:t>万元, 比上年度减少23.5%</w:t>
      </w:r>
      <w:r>
        <w:rPr>
          <w:rFonts w:hint="eastAsia" w:eastAsia="仿宋_GB2312"/>
          <w:sz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（一）财政拨款支出决算总体情况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2020年度财政拨款支出557.15万元，占本年支出合计的81.84%,与上年相比，财政拨款支出减少87.80万元，减少13.62%。</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（二）财政拨款支出决算结构情况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557.15万元，主要用于以下方面：一般公共服务支出3.5万元，占0.62%；教育支出2万元，占0.35%；科学技术支出1.56万元，占0.27%；社会保障和就业支出28.45万元，占5.1%；农林水支出492.76万元，占88.44%;住房保障支出28.88万元，占5.18%。</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（三）财政拨款支出决算具体情况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2020年度财政拨款支出年初预算数为834.30万元，支出决算数为557.15万元，完成年初预算的66.78%，其中：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年初预算为0万，调整预算数4万元，支出决算3.5万元，完成预算的87.5%。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年初预算为2万，支出决算2万元，完成预算的100%。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3、科学技术支出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年初预算为0万，调整预算数1.56万元，支出决算1.56万元，完成预算的100%。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年初预算为38万元，支出决算为28.45万元，完成年初预算的74.86%。</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5、农林水支出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年初预算为537.20万元，调整预算数为766.80万元，支出决算为492.76万元，完成年初预算的64.26%。</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5、住房保障支出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年初预算为30万元，支出决算为28.88万元，完成年初预算的96.26%。</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2020年度财政拨款基本支岀344.62万元，其中：</w:t>
      </w:r>
      <w:bookmarkStart w:id="0" w:name="_GoBack"/>
      <w:bookmarkEnd w:id="0"/>
      <w:r>
        <w:rPr>
          <w:rFonts w:hint="eastAsia" w:ascii="仿宋_GB2312" w:hAnsi="仿宋_GB2312" w:eastAsia="仿宋_GB2312" w:cs="仿宋_GB2312"/>
          <w:sz w:val="32"/>
          <w:szCs w:val="32"/>
        </w:rPr>
        <w:t>人员经费221.39万元，占基本支出的96.63%，主要包括基本工资、津贴补贴、奖金、绩效工资、机关事业单位基本养老保险缴费、职工基本医疗保险缴费、其他社会保障缴费、住房公积金、其他工资福利支出、奖励金、其他对个人和家庭的补助；公用经费11.64万元，占基本支出的3.37%，主要包括办公费、水费、邮电费、物业管理费、差旅费、公务接待费、工会经费、福利费、公务用车运行维护费、其他交通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（一）“三公”经费财政拨款支出决算总体情况说明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“三公”经费财政拨款支出预算为6万元，支出决算为3.70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公务接待费支出预算为2万元，支出决算为0.65万元，完成预算的32.50%，与上年相比减少0.31万元，减少32.94%主要原因是厉行节约，减少了公务接待。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公务用车购置费及运行维护费支出预算为4万元，支出决算为3.05万元，完成预算的76.25%，与上年相比减少2.58万元，减少45.65%，减少的主要原因是厉行节约，减少了公务用车。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（二）“三公”经费财政拨款支出决算具体情况说明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2020年度“三公”经费财政拨款支出决算中，公务接待费支出决算0.65万元，占17.49%，因公出国（境）费支出决算0万元，占0%，公务用车购置费及运行维护费支出决算3.06万元，占82.51%。其中：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1、因公出国（境）费支出决算为0万元，全年未安排因公出国（境）团组及人员。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2、公务接待费支出决算为0.65万元，全年共接待来访团组8个、来宾59人次，主要是外省检测机构考察及市县送样发生的接待支出。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3.06万元，其中：公务用车购置费0万元，公务用车运行维护费3.06万元，主要是用于野外抽样有关支出，截止2020年12月31日，我单位开支财政拨款的公务用车保有量为1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八、政府性基金预算收入支出决算情况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本单位无政府性基金收支。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九、关于机关运行经费支出说明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本单位无机关运行经费收支。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十、一般性支出情况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2020年本部门开支会议费0万元，开支培训费0万元。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十一、关于政府采购支出说明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本部门2020年度政府釆购支出总额63.52万元，其中：政府釆购货物支出63.52万元。（政府采购金额的计算口径为: 本部门纳入2020年度部门预算范围的各项政府采购支出金额之和，不包括涉密采购项目的支出金额）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十二、关于国有资产占用情况说明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截至2020年12月31日,本单位共有车辆1辆，其中，特种专业技术用车1辆。</w:t>
      </w:r>
    </w:p>
    <w:p>
      <w:pPr>
        <w:ind w:firstLine="640" w:firstLineChars="200"/>
        <w:rPr>
          <w:sz w:val="32"/>
          <w:szCs w:val="32"/>
        </w:rPr>
      </w:pPr>
    </w:p>
    <w:p>
      <w:pPr>
        <w:rPr>
          <w:sz w:val="32"/>
          <w:szCs w:val="32"/>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r>
        <w:rPr>
          <w:rFonts w:hint="eastAsia"/>
          <w:sz w:val="44"/>
          <w:szCs w:val="44"/>
        </w:rPr>
        <w:t>第四部分名词解释</w:t>
      </w:r>
    </w:p>
    <w:p>
      <w:pPr>
        <w:spacing w:line="360" w:lineRule="auto"/>
        <w:ind w:firstLine="643" w:firstLineChars="200"/>
        <w:rPr>
          <w:rFonts w:eastAsia="仿宋_GB2312"/>
          <w:b/>
          <w:color w:val="000000"/>
          <w:sz w:val="32"/>
          <w:szCs w:val="32"/>
        </w:rPr>
      </w:pPr>
    </w:p>
    <w:p>
      <w:pPr>
        <w:spacing w:line="360" w:lineRule="auto"/>
        <w:ind w:firstLine="643" w:firstLineChars="200"/>
        <w:rPr>
          <w:rFonts w:eastAsia="仿宋_GB2312"/>
          <w:color w:val="000000"/>
          <w:sz w:val="32"/>
          <w:szCs w:val="32"/>
        </w:rPr>
      </w:pPr>
      <w:r>
        <w:rPr>
          <w:rFonts w:eastAsia="仿宋_GB2312"/>
          <w:b/>
          <w:color w:val="000000"/>
          <w:sz w:val="32"/>
          <w:szCs w:val="32"/>
        </w:rPr>
        <w:t>一、</w:t>
      </w:r>
      <w:r>
        <w:rPr>
          <w:rFonts w:eastAsia="仿宋_GB2312"/>
          <w:b/>
          <w:sz w:val="32"/>
          <w:szCs w:val="32"/>
        </w:rPr>
        <w:t>财政</w:t>
      </w:r>
      <w:r>
        <w:rPr>
          <w:rFonts w:eastAsia="仿宋_GB2312"/>
          <w:b/>
          <w:color w:val="000000"/>
          <w:sz w:val="32"/>
          <w:szCs w:val="32"/>
        </w:rPr>
        <w:t>拨款收入：</w:t>
      </w:r>
      <w:r>
        <w:rPr>
          <w:rFonts w:eastAsia="仿宋_GB2312"/>
          <w:color w:val="000000"/>
          <w:sz w:val="32"/>
          <w:szCs w:val="32"/>
        </w:rPr>
        <w:t>是指级财政部门当年拨付的公共预算财政拨款和政府性基金预算财政拨款。  </w:t>
      </w:r>
    </w:p>
    <w:p>
      <w:pPr>
        <w:spacing w:line="360" w:lineRule="auto"/>
        <w:ind w:right="25" w:rightChars="12" w:firstLine="643" w:firstLineChars="200"/>
        <w:rPr>
          <w:rFonts w:eastAsia="仿宋_GB2312"/>
          <w:sz w:val="32"/>
          <w:szCs w:val="32"/>
        </w:rPr>
      </w:pPr>
      <w:r>
        <w:rPr>
          <w:rFonts w:eastAsia="仿宋_GB2312"/>
          <w:b/>
          <w:sz w:val="32"/>
          <w:szCs w:val="32"/>
        </w:rPr>
        <w:t>二、事业收入：</w:t>
      </w:r>
      <w:r>
        <w:rPr>
          <w:rFonts w:eastAsia="仿宋_GB2312"/>
          <w:sz w:val="32"/>
          <w:szCs w:val="32"/>
        </w:rPr>
        <w:t>指事业单位开展专业业务活动及辅助活动取得的收入。</w:t>
      </w:r>
    </w:p>
    <w:p>
      <w:pPr>
        <w:spacing w:line="360" w:lineRule="auto"/>
        <w:ind w:right="25" w:rightChars="12" w:firstLine="643" w:firstLineChars="200"/>
        <w:rPr>
          <w:rFonts w:eastAsia="仿宋_GB2312"/>
          <w:sz w:val="32"/>
          <w:szCs w:val="32"/>
        </w:rPr>
      </w:pPr>
      <w:r>
        <w:rPr>
          <w:rFonts w:eastAsia="仿宋_GB2312"/>
          <w:b/>
          <w:sz w:val="32"/>
          <w:szCs w:val="32"/>
        </w:rPr>
        <w:t>三、经营收入：</w:t>
      </w:r>
      <w:r>
        <w:rPr>
          <w:rFonts w:eastAsia="仿宋_GB2312"/>
          <w:sz w:val="32"/>
          <w:szCs w:val="32"/>
        </w:rPr>
        <w:t xml:space="preserve">指事业单位在专业业务活动及其辅助活动之外开展非独立核算经营活动取得的收入。 </w:t>
      </w:r>
    </w:p>
    <w:p>
      <w:pPr>
        <w:spacing w:line="360" w:lineRule="auto"/>
        <w:ind w:right="25" w:rightChars="12" w:firstLine="643" w:firstLineChars="200"/>
        <w:rPr>
          <w:rFonts w:eastAsia="仿宋_GB2312"/>
          <w:sz w:val="32"/>
          <w:szCs w:val="32"/>
        </w:rPr>
      </w:pPr>
      <w:r>
        <w:rPr>
          <w:rFonts w:eastAsia="仿宋_GB2312"/>
          <w:b/>
          <w:sz w:val="32"/>
          <w:szCs w:val="32"/>
        </w:rPr>
        <w:t>四、其他收入：</w:t>
      </w:r>
      <w:r>
        <w:rPr>
          <w:rFonts w:eastAsia="仿宋_GB2312"/>
          <w:sz w:val="32"/>
          <w:szCs w:val="32"/>
        </w:rPr>
        <w:t>指单位取得的除上述收入以外的各项收入。主要是按规定动用的售房收入、存款利息收入等。</w:t>
      </w:r>
    </w:p>
    <w:p>
      <w:pPr>
        <w:spacing w:line="360" w:lineRule="auto"/>
        <w:ind w:right="25" w:rightChars="12" w:firstLine="643" w:firstLineChars="200"/>
        <w:rPr>
          <w:rFonts w:eastAsia="仿宋_GB2312"/>
          <w:color w:val="000000"/>
          <w:sz w:val="32"/>
          <w:szCs w:val="32"/>
        </w:rPr>
      </w:pPr>
      <w:r>
        <w:rPr>
          <w:rFonts w:eastAsia="仿宋_GB2312"/>
          <w:b/>
          <w:sz w:val="32"/>
          <w:szCs w:val="32"/>
        </w:rPr>
        <w:t>五、</w:t>
      </w:r>
      <w:r>
        <w:rPr>
          <w:rFonts w:hint="eastAsia" w:eastAsia="仿宋_GB2312"/>
          <w:b/>
          <w:sz w:val="32"/>
          <w:szCs w:val="32"/>
        </w:rPr>
        <w:t>使用非财政拨款结余</w:t>
      </w:r>
      <w:r>
        <w:rPr>
          <w:rFonts w:eastAsia="仿宋_GB2312"/>
          <w:b/>
          <w:sz w:val="32"/>
          <w:szCs w:val="32"/>
        </w:rPr>
        <w:t>：</w:t>
      </w:r>
      <w:r>
        <w:rPr>
          <w:rFonts w:eastAsia="仿宋_GB2312"/>
          <w:sz w:val="32"/>
          <w:szCs w:val="32"/>
        </w:rPr>
        <w:t>指事业单位在当年的财政拨款收入、事业收入、其他收入不足以安排当年支出的情况下，使用以前年度积累的</w:t>
      </w:r>
      <w:r>
        <w:rPr>
          <w:rFonts w:hint="eastAsia" w:eastAsia="仿宋_GB2312"/>
          <w:sz w:val="32"/>
          <w:szCs w:val="32"/>
        </w:rPr>
        <w:t>非财政拨款</w:t>
      </w:r>
      <w:r>
        <w:rPr>
          <w:rFonts w:eastAsia="仿宋_GB2312"/>
          <w:sz w:val="32"/>
          <w:szCs w:val="32"/>
        </w:rPr>
        <w:t>结余（事业单位当年收支相抵后按国家规定提取、用于弥补以后年度收支差额的</w:t>
      </w:r>
      <w:r>
        <w:rPr>
          <w:rFonts w:hint="eastAsia" w:eastAsia="仿宋_GB2312"/>
          <w:sz w:val="32"/>
          <w:szCs w:val="32"/>
        </w:rPr>
        <w:t>结余</w:t>
      </w:r>
      <w:r>
        <w:rPr>
          <w:rFonts w:eastAsia="仿宋_GB2312"/>
          <w:sz w:val="32"/>
          <w:szCs w:val="32"/>
        </w:rPr>
        <w:t>）弥补本年度收支缺口的资金。</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六、基本支出：</w:t>
      </w:r>
      <w:r>
        <w:rPr>
          <w:rFonts w:eastAsia="仿宋_GB2312"/>
          <w:color w:val="000000"/>
          <w:sz w:val="32"/>
          <w:szCs w:val="32"/>
        </w:rPr>
        <w:t>是指为保障机构正常运转、完成日常工作任务而发生的人员支出和公用支出。  </w:t>
      </w:r>
    </w:p>
    <w:p>
      <w:pPr>
        <w:spacing w:line="360" w:lineRule="auto"/>
        <w:rPr>
          <w:rFonts w:eastAsia="仿宋_GB2312"/>
          <w:color w:val="000000"/>
          <w:sz w:val="32"/>
          <w:szCs w:val="32"/>
        </w:rPr>
      </w:pPr>
      <w:r>
        <w:rPr>
          <w:rFonts w:eastAsia="仿宋_GB2312"/>
          <w:b/>
          <w:color w:val="000000"/>
          <w:sz w:val="32"/>
          <w:szCs w:val="32"/>
        </w:rPr>
        <w:t>七、项目支出：</w:t>
      </w:r>
      <w:r>
        <w:rPr>
          <w:rFonts w:eastAsia="仿宋_GB2312"/>
          <w:color w:val="000000"/>
          <w:sz w:val="32"/>
          <w:szCs w:val="32"/>
        </w:rPr>
        <w:t>是指在基本支出之外为完成特定的行政工作任务或事业发展目标所发生的支出。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八、自然</w:t>
      </w:r>
      <w:r>
        <w:rPr>
          <w:rFonts w:hint="eastAsia" w:eastAsia="仿宋_GB2312"/>
          <w:b/>
          <w:color w:val="000000"/>
          <w:sz w:val="32"/>
          <w:szCs w:val="32"/>
        </w:rPr>
        <w:t>资源</w:t>
      </w:r>
      <w:r>
        <w:rPr>
          <w:rFonts w:eastAsia="仿宋_GB2312"/>
          <w:b/>
          <w:color w:val="000000"/>
          <w:sz w:val="32"/>
          <w:szCs w:val="32"/>
        </w:rPr>
        <w:t>海洋气象等支出：</w:t>
      </w:r>
      <w:r>
        <w:rPr>
          <w:rFonts w:eastAsia="仿宋_GB2312"/>
          <w:color w:val="000000"/>
          <w:sz w:val="32"/>
          <w:szCs w:val="32"/>
        </w:rPr>
        <w:t>指政府用于国土资源、海洋、测绘、地震、气象等公益服务事业方面的支出。  </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九、年初结转和结余：</w:t>
      </w:r>
      <w:r>
        <w:rPr>
          <w:rFonts w:eastAsia="仿宋_GB2312"/>
          <w:color w:val="000000"/>
          <w:sz w:val="32"/>
          <w:szCs w:val="32"/>
        </w:rPr>
        <w:t>是指以前年度支出预算因客观条件变化未执行完毕、结转到本年度按规定继续使用的资金。  </w:t>
      </w:r>
    </w:p>
    <w:p>
      <w:pPr>
        <w:spacing w:line="360" w:lineRule="auto"/>
        <w:ind w:firstLine="645"/>
        <w:rPr>
          <w:rFonts w:eastAsia="仿宋_GB2312"/>
          <w:color w:val="000000"/>
          <w:sz w:val="32"/>
          <w:szCs w:val="32"/>
        </w:rPr>
      </w:pPr>
      <w:r>
        <w:rPr>
          <w:rFonts w:eastAsia="仿宋_GB2312"/>
          <w:b/>
          <w:color w:val="000000"/>
          <w:sz w:val="32"/>
          <w:szCs w:val="32"/>
        </w:rPr>
        <w:t>十、年末结转和结余：</w:t>
      </w:r>
      <w:r>
        <w:rPr>
          <w:rFonts w:eastAsia="仿宋_GB2312"/>
          <w:color w:val="000000"/>
          <w:sz w:val="32"/>
          <w:szCs w:val="32"/>
        </w:rPr>
        <w:t>是指本年度或以前年度预算安排、因客观条件发生变化无法按原计划实施，需要延迟到以后年度继续使用的资金。  </w:t>
      </w:r>
    </w:p>
    <w:p>
      <w:pPr>
        <w:autoSpaceDE w:val="0"/>
        <w:spacing w:line="360" w:lineRule="auto"/>
        <w:ind w:firstLine="643" w:firstLineChars="200"/>
        <w:rPr>
          <w:rFonts w:eastAsia="仿宋_GB2312"/>
          <w:sz w:val="32"/>
          <w:szCs w:val="32"/>
        </w:rPr>
      </w:pPr>
      <w:r>
        <w:rPr>
          <w:rFonts w:eastAsia="仿宋_GB2312"/>
          <w:b/>
          <w:sz w:val="32"/>
          <w:szCs w:val="32"/>
        </w:rPr>
        <w:t>十一、三公经费：</w:t>
      </w:r>
      <w:r>
        <w:rPr>
          <w:rFonts w:eastAsia="仿宋_GB2312"/>
          <w:sz w:val="32"/>
          <w:szCs w:val="32"/>
        </w:rPr>
        <w:t>是指部门用财政拨款安排的因公出国（境）费、公务用车购置及运行维护费和公务接待费。</w:t>
      </w:r>
    </w:p>
    <w:p>
      <w:pPr>
        <w:autoSpaceDE w:val="0"/>
        <w:spacing w:line="360" w:lineRule="auto"/>
        <w:ind w:firstLine="660"/>
        <w:rPr>
          <w:rFonts w:eastAsia="仿宋_GB2312"/>
          <w:sz w:val="32"/>
          <w:szCs w:val="32"/>
        </w:rPr>
      </w:pPr>
      <w:r>
        <w:rPr>
          <w:rFonts w:eastAsia="仿宋_GB2312"/>
          <w:b/>
          <w:sz w:val="32"/>
          <w:szCs w:val="32"/>
        </w:rPr>
        <w:t>十二、机关运行经费：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r>
        <w:rPr>
          <w:rFonts w:hint="eastAsia"/>
          <w:sz w:val="32"/>
          <w:szCs w:val="32"/>
        </w:rPr>
        <w:t>附件</w:t>
      </w:r>
    </w:p>
    <w:p>
      <w:pPr>
        <w:jc w:val="center"/>
        <w:rPr>
          <w:rFonts w:ascii="宋体" w:hAnsi="宋体" w:eastAsia="宋体" w:cs="宋体"/>
          <w:b/>
          <w:bCs/>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2020年度湖南省林产品质量检验检测中心</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整体支出绩效自评报告</w:t>
      </w:r>
    </w:p>
    <w:p>
      <w:pPr>
        <w:rPr>
          <w:rFonts w:ascii="方正仿宋_GBK" w:hAnsi="方正仿宋_GBK" w:eastAsia="方正仿宋_GBK" w:cs="方正仿宋_GBK"/>
          <w:sz w:val="32"/>
          <w:szCs w:val="32"/>
        </w:rPr>
      </w:pP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一、基本情况</w:t>
      </w:r>
    </w:p>
    <w:p>
      <w:pPr>
        <w:pStyle w:val="9"/>
        <w:numPr>
          <w:ilvl w:val="0"/>
          <w:numId w:val="1"/>
        </w:numPr>
        <w:spacing w:line="600" w:lineRule="exact"/>
        <w:ind w:firstLineChars="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单位基本情况</w:t>
      </w:r>
    </w:p>
    <w:p>
      <w:pPr>
        <w:pStyle w:val="9"/>
        <w:snapToGrid w:val="0"/>
        <w:spacing w:line="520" w:lineRule="exact"/>
        <w:ind w:left="160" w:leftChars="76" w:firstLine="640"/>
        <w:rPr>
          <w:rFonts w:eastAsia="仿宋_GB2312"/>
          <w:sz w:val="32"/>
        </w:rPr>
      </w:pPr>
      <w:r>
        <w:rPr>
          <w:rFonts w:eastAsia="仿宋_GB2312"/>
          <w:sz w:val="32"/>
        </w:rPr>
        <w:t>1、主要职能：为林产品质量提供检验保障、木竹藤材及制品、林化产品、生物质能源、森林食品及产地环境、林木种苗花卉检验、仲裁与监督抽查及委托检验、技术咨询培训服务</w:t>
      </w:r>
      <w:r>
        <w:rPr>
          <w:rFonts w:hint="eastAsia" w:eastAsia="仿宋_GB2312"/>
          <w:sz w:val="32"/>
        </w:rPr>
        <w:t>；林木种苗质量检验检测服务。</w:t>
      </w:r>
    </w:p>
    <w:p>
      <w:pPr>
        <w:spacing w:line="580" w:lineRule="exact"/>
        <w:ind w:firstLine="800" w:firstLineChars="250"/>
        <w:rPr>
          <w:rFonts w:eastAsia="仿宋_GB2312"/>
          <w:sz w:val="32"/>
        </w:rPr>
      </w:pPr>
      <w:r>
        <w:rPr>
          <w:rFonts w:eastAsia="仿宋_GB2312"/>
          <w:sz w:val="32"/>
        </w:rPr>
        <w:t>2、机构情况：2008年3月，根据《国家林业局关于同意成立“国家林业局林产品质量检验检测中心（长沙）的行政许可决定”》（林科许准[2008]04号）文件，成立了国家林业局林产品质量检验检测中心（长沙）。2009年9月，湖南省机构编制委员会办公室批准设立湖南省林产品质量检验检测中心，与国家林业局林产品质量检验检测中心（长沙）实行合署办公，为正处级的全额拨款公益类事业单位，是具有第三方公正性地位的法定质检机构。</w:t>
      </w:r>
    </w:p>
    <w:p>
      <w:pPr>
        <w:spacing w:line="580" w:lineRule="exact"/>
        <w:ind w:firstLine="640" w:firstLineChars="200"/>
        <w:rPr>
          <w:rFonts w:eastAsia="仿宋_GB2312"/>
          <w:sz w:val="32"/>
        </w:rPr>
      </w:pPr>
      <w:r>
        <w:rPr>
          <w:rFonts w:eastAsia="仿宋_GB2312"/>
          <w:sz w:val="32"/>
        </w:rPr>
        <w:t>3、人员情况：年末编制人数17人，实有在职在编人员15人，由养老保险基金发放养老金的退休人员3人。</w:t>
      </w:r>
    </w:p>
    <w:p>
      <w:pPr>
        <w:spacing w:line="600" w:lineRule="exact"/>
        <w:ind w:firstLine="480" w:firstLineChars="1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（二）单位绩效目标</w:t>
      </w:r>
    </w:p>
    <w:p>
      <w:pPr>
        <w:spacing w:line="600" w:lineRule="exact"/>
        <w:ind w:firstLine="640" w:firstLineChars="200"/>
        <w:rPr>
          <w:rFonts w:eastAsia="仿宋_GB2312"/>
          <w:sz w:val="32"/>
        </w:rPr>
      </w:pPr>
      <w:r>
        <w:rPr>
          <w:rFonts w:hint="eastAsia" w:eastAsia="仿宋_GB2312"/>
          <w:sz w:val="32"/>
        </w:rPr>
        <w:t>加强林产品和种苗质量监测，积极推进溯源体系建设；加强珍贵木材陈列室建设，展现湖南林业风采；加强治理体系现代化建设；提供优质高效服务，保证人员经费和日常公用经费，确保日常运行。</w:t>
      </w:r>
    </w:p>
    <w:p>
      <w:pPr>
        <w:spacing w:line="600" w:lineRule="exact"/>
        <w:rPr>
          <w:rFonts w:ascii="方正仿宋_GBK" w:hAnsi="方正仿宋_GBK" w:eastAsia="方正仿宋_GBK" w:cs="方正仿宋_GBK"/>
          <w:sz w:val="32"/>
          <w:szCs w:val="32"/>
        </w:rPr>
      </w:pP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二、一般公共预算支出情况</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（一）基本支出情况</w:t>
      </w:r>
    </w:p>
    <w:p>
      <w:pPr>
        <w:pStyle w:val="9"/>
        <w:snapToGrid w:val="0"/>
        <w:spacing w:line="520" w:lineRule="exact"/>
        <w:ind w:left="160" w:leftChars="76" w:firstLine="800" w:firstLineChars="250"/>
        <w:rPr>
          <w:rFonts w:eastAsia="仿宋_GB2312"/>
          <w:sz w:val="32"/>
        </w:rPr>
      </w:pPr>
      <w:r>
        <w:rPr>
          <w:rFonts w:hint="eastAsia" w:eastAsia="仿宋_GB2312"/>
          <w:sz w:val="32"/>
        </w:rPr>
        <w:t>我单位2020年度基本支出344.63万元。其中:工资福利支出315.85万元，日常公用经费11.64万元，对个人和家庭的补助17.14万元。2020年部门预算安排“三公”经费6万元，实际支出3.7万元，其中公务车运行维护费3.05万元，公务接待费0.65万元，无因公出国（境）费用。</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（二）项目支出情况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我单位项目收入887.99万元（其中上年结余8.06万元，本年预算收入834.30万元，其他资金45.63万元），使用非财政拨款结余77.98万元，实际支出680.76万元，年末结余257.54万元（其中市场监督管理专项（市县）预算4万元，实际支出后结余0.5万元；林产品质量管理项目75.87万元，实际支出后结余0.94万元；  林业生态保护修复与发展资金项目270万元，实际支出后结余252.76万元；  林产品监测基本建设投资75万元，实际支出后结余3.34万元。</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三、整体支出绩效情况</w:t>
      </w:r>
    </w:p>
    <w:p>
      <w:pPr>
        <w:spacing w:line="580" w:lineRule="exact"/>
        <w:ind w:firstLine="800" w:firstLineChars="250"/>
        <w:rPr>
          <w:rFonts w:eastAsia="仿宋_GB2312"/>
          <w:sz w:val="32"/>
        </w:rPr>
      </w:pPr>
      <w:r>
        <w:rPr>
          <w:rFonts w:hint="eastAsia" w:eastAsia="仿宋_GB2312"/>
          <w:sz w:val="32"/>
        </w:rPr>
        <w:t>2020</w:t>
      </w:r>
      <w:r>
        <w:rPr>
          <w:rFonts w:eastAsia="仿宋_GB2312"/>
          <w:sz w:val="32"/>
        </w:rPr>
        <w:t>年，</w:t>
      </w:r>
      <w:r>
        <w:rPr>
          <w:rFonts w:hint="eastAsia" w:eastAsia="仿宋_GB2312"/>
          <w:sz w:val="32"/>
        </w:rPr>
        <w:t>我单位共收入887.99万元（其中本年财政补助收入834.30万元，上年结余8.06万元，其他收入45.63万元），</w:t>
      </w:r>
    </w:p>
    <w:p>
      <w:pPr>
        <w:spacing w:line="580" w:lineRule="exact"/>
        <w:ind w:firstLine="800" w:firstLineChars="250"/>
        <w:rPr>
          <w:rFonts w:eastAsia="仿宋_GB2312"/>
          <w:sz w:val="32"/>
        </w:rPr>
      </w:pPr>
      <w:r>
        <w:rPr>
          <w:rFonts w:hint="eastAsia" w:eastAsia="仿宋_GB2312"/>
          <w:sz w:val="32"/>
        </w:rPr>
        <w:t>使用非财政拨款结余77.98万元，实际支出680.76万元（其中基本支出344.63万元，项目支出336.13万元），年末结余285.21万元。</w:t>
      </w:r>
      <w:r>
        <w:rPr>
          <w:rFonts w:eastAsia="仿宋_GB2312"/>
          <w:sz w:val="32"/>
        </w:rPr>
        <w:t>在</w:t>
      </w:r>
      <w:r>
        <w:rPr>
          <w:rFonts w:hint="eastAsia" w:eastAsia="仿宋_GB2312"/>
          <w:sz w:val="32"/>
        </w:rPr>
        <w:t>局</w:t>
      </w:r>
      <w:r>
        <w:rPr>
          <w:rFonts w:eastAsia="仿宋_GB2312"/>
          <w:sz w:val="32"/>
        </w:rPr>
        <w:t>党组的正确领导下，</w:t>
      </w:r>
      <w:r>
        <w:rPr>
          <w:rFonts w:hint="eastAsia" w:eastAsia="仿宋_GB2312"/>
          <w:sz w:val="32"/>
        </w:rPr>
        <w:t>我单位</w:t>
      </w:r>
      <w:r>
        <w:rPr>
          <w:rFonts w:eastAsia="仿宋_GB2312"/>
          <w:sz w:val="32"/>
        </w:rPr>
        <w:t>围绕年初工作目标，克服新冠疫情影响，各项工作成效</w:t>
      </w:r>
      <w:r>
        <w:rPr>
          <w:rFonts w:hint="eastAsia" w:eastAsia="仿宋_GB2312"/>
          <w:sz w:val="32"/>
        </w:rPr>
        <w:t>明</w:t>
      </w:r>
      <w:r>
        <w:rPr>
          <w:rFonts w:eastAsia="仿宋_GB2312"/>
          <w:sz w:val="32"/>
        </w:rPr>
        <w:t>显。</w:t>
      </w:r>
      <w:r>
        <w:rPr>
          <w:rFonts w:hint="eastAsia" w:eastAsia="仿宋_GB2312"/>
          <w:sz w:val="32"/>
        </w:rPr>
        <w:t>通过加强预算管理，严控运行成本，我单位整体支出绩效管理水平得到提升。主要表现在以下几个方面：一是资金管理规范。严格按照财经法规管理和使用资金，认真贯彻落实财务管理制度办法，严把资金使用审核关口。二是履职效能突出。2020年度监测业务和检验检测工作圆满完成。三是资金运行平稳。2020年度各项资金严格按预算执行，基本支出主要用于我单位日常运转所需的工资、社保等人员经费和办公等公用经费。项目支出主要用于林产品和种苗质量监测等方面。</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四、存在的问题及原因分析</w:t>
      </w:r>
    </w:p>
    <w:p>
      <w:pPr>
        <w:spacing w:line="600" w:lineRule="exact"/>
        <w:ind w:firstLine="640" w:firstLineChars="200"/>
        <w:rPr>
          <w:rFonts w:eastAsia="方正仿宋_GBK"/>
          <w:color w:val="000000"/>
          <w:sz w:val="32"/>
          <w:szCs w:val="32"/>
        </w:rPr>
      </w:pPr>
      <w:r>
        <w:rPr>
          <w:rFonts w:hint="eastAsia" w:eastAsia="方正仿宋_GBK"/>
          <w:color w:val="000000"/>
          <w:sz w:val="32"/>
          <w:szCs w:val="32"/>
        </w:rPr>
        <w:t>预算执行进度较缓导致预算执行率偏离绩效目标较大。主要原因是270万的</w:t>
      </w:r>
      <w:r>
        <w:rPr>
          <w:rFonts w:hint="eastAsia" w:ascii="方正仿宋_GBK" w:hAnsi="方正仿宋_GBK" w:eastAsia="方正仿宋_GBK" w:cs="方正仿宋_GBK"/>
          <w:sz w:val="32"/>
          <w:szCs w:val="32"/>
        </w:rPr>
        <w:t>林业生态保护修复与发展资金项目资金</w:t>
      </w:r>
      <w:r>
        <w:rPr>
          <w:rFonts w:hint="eastAsia" w:eastAsia="方正仿宋_GBK"/>
          <w:color w:val="000000"/>
          <w:sz w:val="32"/>
          <w:szCs w:val="32"/>
        </w:rPr>
        <w:t>下达时间晚（11月底才上指标），导致没有足够的时间来完成招投标并使用资金。</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五、下一步改进措施</w:t>
      </w:r>
    </w:p>
    <w:p>
      <w:pPr>
        <w:spacing w:line="600" w:lineRule="exact"/>
        <w:ind w:firstLine="640" w:firstLineChars="200"/>
        <w:rPr>
          <w:rFonts w:eastAsia="方正仿宋_GBK"/>
          <w:color w:val="000000"/>
          <w:sz w:val="32"/>
          <w:szCs w:val="32"/>
        </w:rPr>
      </w:pPr>
      <w:r>
        <w:rPr>
          <w:rFonts w:eastAsia="方正仿宋_GBK"/>
          <w:color w:val="000000"/>
          <w:sz w:val="32"/>
          <w:szCs w:val="32"/>
        </w:rPr>
        <w:t>1、认真做好预算的编制</w:t>
      </w:r>
      <w:r>
        <w:rPr>
          <w:rFonts w:hint="eastAsia" w:eastAsia="方正仿宋_GBK"/>
          <w:color w:val="000000"/>
          <w:sz w:val="32"/>
          <w:szCs w:val="32"/>
        </w:rPr>
        <w:t>，提高资金使用效率</w:t>
      </w:r>
      <w:r>
        <w:rPr>
          <w:rFonts w:eastAsia="方正仿宋_GBK"/>
          <w:color w:val="000000"/>
          <w:sz w:val="32"/>
          <w:szCs w:val="32"/>
        </w:rPr>
        <w:t>。进一步加强单位内部机构的预算管理意识，细化预算编制工作，严格按照预算编制的相关制度和要求进行预算编制</w:t>
      </w:r>
      <w:r>
        <w:rPr>
          <w:rFonts w:hint="eastAsia" w:eastAsia="方正仿宋_GBK"/>
          <w:color w:val="000000"/>
          <w:sz w:val="32"/>
          <w:szCs w:val="32"/>
        </w:rPr>
        <w:t>，加强预算执行，提高预算资金的使用效率</w:t>
      </w:r>
      <w:r>
        <w:rPr>
          <w:rFonts w:eastAsia="方正仿宋_GBK"/>
          <w:color w:val="000000"/>
          <w:sz w:val="32"/>
          <w:szCs w:val="32"/>
        </w:rPr>
        <w:t>。</w:t>
      </w:r>
    </w:p>
    <w:p>
      <w:pPr>
        <w:spacing w:line="600" w:lineRule="exact"/>
        <w:ind w:firstLine="640" w:firstLineChars="200"/>
        <w:rPr>
          <w:rFonts w:eastAsia="方正仿宋_GBK"/>
          <w:color w:val="000000"/>
          <w:sz w:val="32"/>
          <w:szCs w:val="32"/>
        </w:rPr>
      </w:pPr>
      <w:r>
        <w:rPr>
          <w:rFonts w:eastAsia="方正仿宋_GBK"/>
          <w:color w:val="000000"/>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600" w:lineRule="exact"/>
        <w:ind w:firstLine="640" w:firstLineChars="2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六、绩效自评结果拟应用和公开情况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本次绩效自评结果将为我单位2021年提供资金使用依据和方向，以便进一步加快预算执行进度。</w:t>
      </w:r>
    </w:p>
    <w:p>
      <w:pPr>
        <w:rPr>
          <w:sz w:val="32"/>
          <w:szCs w:val="32"/>
        </w:rPr>
      </w:pPr>
    </w:p>
    <w:p>
      <w:pPr>
        <w:rPr>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sz w:val="32"/>
          <w:szCs w:val="32"/>
        </w:rPr>
      </w:pPr>
    </w:p>
    <w:p>
      <w:pPr>
        <w:widowControl/>
        <w:jc w:val="left"/>
        <w:rPr>
          <w:rFonts w:eastAsia="黑体"/>
          <w:sz w:val="32"/>
          <w:szCs w:val="32"/>
        </w:rPr>
      </w:pPr>
      <w:r>
        <w:rPr>
          <w:rFonts w:eastAsia="黑体"/>
          <w:sz w:val="32"/>
          <w:szCs w:val="32"/>
        </w:rPr>
        <w:t>附件</w:t>
      </w:r>
      <w:r>
        <w:rPr>
          <w:rFonts w:hint="eastAsia" w:eastAsia="黑体"/>
          <w:sz w:val="32"/>
          <w:szCs w:val="32"/>
        </w:rPr>
        <w:t>1</w:t>
      </w:r>
    </w:p>
    <w:p>
      <w:pPr>
        <w:spacing w:line="560" w:lineRule="exact"/>
        <w:jc w:val="center"/>
        <w:rPr>
          <w:rFonts w:eastAsia="方正小标宋_GBK"/>
          <w:kern w:val="0"/>
          <w:sz w:val="32"/>
          <w:szCs w:val="32"/>
        </w:rPr>
      </w:pPr>
      <w:r>
        <w:rPr>
          <w:rFonts w:hint="eastAsia" w:eastAsia="方正小标宋_GBK"/>
          <w:kern w:val="0"/>
          <w:sz w:val="32"/>
          <w:szCs w:val="32"/>
        </w:rPr>
        <w:t>2020年度</w:t>
      </w:r>
      <w:r>
        <w:rPr>
          <w:rFonts w:eastAsia="方正小标宋_GBK"/>
          <w:kern w:val="0"/>
          <w:sz w:val="32"/>
          <w:szCs w:val="32"/>
        </w:rPr>
        <w:t>整体支出绩效评价基础数据表</w:t>
      </w:r>
    </w:p>
    <w:p>
      <w:pPr>
        <w:spacing w:line="560" w:lineRule="exact"/>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单位：万元</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财政供养人员情况</w:t>
            </w:r>
          </w:p>
        </w:tc>
        <w:tc>
          <w:tcPr>
            <w:tcW w:w="2038" w:type="dxa"/>
            <w:gridSpan w:val="2"/>
            <w:tcBorders>
              <w:top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编制数</w:t>
            </w:r>
          </w:p>
        </w:tc>
        <w:tc>
          <w:tcPr>
            <w:tcW w:w="2240" w:type="dxa"/>
            <w:gridSpan w:val="2"/>
            <w:tcBorders>
              <w:top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Cs w:val="21"/>
              </w:rPr>
              <w:t>2020年实际在职人数</w:t>
            </w:r>
          </w:p>
        </w:tc>
        <w:tc>
          <w:tcPr>
            <w:tcW w:w="1832" w:type="dxa"/>
            <w:gridSpan w:val="2"/>
            <w:tcBorders>
              <w:top w:val="single" w:color="auto" w:sz="12" w:space="0"/>
              <w:right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shd w:val="clear" w:color="auto" w:fill="auto"/>
            <w:vAlign w:val="center"/>
          </w:tcPr>
          <w:p>
            <w:pPr>
              <w:widowControl/>
              <w:jc w:val="left"/>
              <w:rPr>
                <w:rFonts w:ascii="仿宋" w:hAnsi="仿宋" w:eastAsia="仿宋" w:cs="仿宋"/>
                <w:b/>
                <w:bCs/>
                <w:kern w:val="0"/>
                <w:sz w:val="24"/>
              </w:rPr>
            </w:pP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17</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15</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经费控制情况</w:t>
            </w:r>
          </w:p>
        </w:tc>
        <w:tc>
          <w:tcPr>
            <w:tcW w:w="2038" w:type="dxa"/>
            <w:gridSpan w:val="2"/>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2019年决算数</w:t>
            </w:r>
          </w:p>
        </w:tc>
        <w:tc>
          <w:tcPr>
            <w:tcW w:w="2240" w:type="dxa"/>
            <w:gridSpan w:val="2"/>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2020年预算数</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2020年决算数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b/>
                <w:bCs/>
                <w:kern w:val="0"/>
                <w:sz w:val="24"/>
              </w:rPr>
              <w:t>三公经费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6.59</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6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1、公务用车购置和维护经费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5.63</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4</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2、出国经费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xml:space="preserve">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3、公务接待</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0.96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b/>
                <w:bCs/>
                <w:kern w:val="0"/>
                <w:sz w:val="24"/>
              </w:rPr>
              <w:t>项目支出</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1、业务工作经费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149</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188</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183.71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2、林业生态保护修复与发展资金</w:t>
            </w:r>
          </w:p>
        </w:tc>
        <w:tc>
          <w:tcPr>
            <w:tcW w:w="2038" w:type="dxa"/>
            <w:gridSpan w:val="2"/>
            <w:shd w:val="clear" w:color="auto" w:fill="auto"/>
            <w:vAlign w:val="center"/>
          </w:tcPr>
          <w:p>
            <w:pPr>
              <w:widowControl/>
              <w:jc w:val="center"/>
              <w:rPr>
                <w:rFonts w:ascii="仿宋" w:hAnsi="仿宋" w:eastAsia="仿宋" w:cs="仿宋"/>
                <w:kern w:val="0"/>
                <w:sz w:val="24"/>
              </w:rPr>
            </w:pP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270</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b/>
                <w:bCs/>
                <w:kern w:val="0"/>
                <w:sz w:val="24"/>
              </w:rPr>
            </w:pPr>
            <w:r>
              <w:rPr>
                <w:rFonts w:hint="eastAsia" w:ascii="仿宋" w:hAnsi="仿宋" w:eastAsia="仿宋" w:cs="仿宋"/>
                <w:kern w:val="0"/>
                <w:sz w:val="24"/>
              </w:rPr>
              <w:t>3、其他项目资金</w:t>
            </w:r>
          </w:p>
        </w:tc>
        <w:tc>
          <w:tcPr>
            <w:tcW w:w="2038" w:type="dxa"/>
            <w:gridSpan w:val="2"/>
            <w:shd w:val="clear" w:color="auto" w:fill="auto"/>
            <w:vAlign w:val="center"/>
          </w:tcPr>
          <w:p>
            <w:pPr>
              <w:widowControl/>
              <w:jc w:val="center"/>
              <w:rPr>
                <w:rFonts w:ascii="仿宋" w:hAnsi="仿宋" w:eastAsia="仿宋" w:cs="仿宋"/>
                <w:kern w:val="0"/>
                <w:sz w:val="24"/>
              </w:rPr>
            </w:pP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p>
        </w:tc>
        <w:tc>
          <w:tcPr>
            <w:tcW w:w="2038" w:type="dxa"/>
            <w:gridSpan w:val="2"/>
            <w:shd w:val="clear" w:color="auto" w:fill="auto"/>
            <w:vAlign w:val="center"/>
          </w:tcPr>
          <w:p>
            <w:pPr>
              <w:widowControl/>
              <w:jc w:val="center"/>
              <w:rPr>
                <w:rFonts w:ascii="仿宋" w:hAnsi="仿宋" w:eastAsia="仿宋" w:cs="仿宋"/>
                <w:kern w:val="0"/>
                <w:sz w:val="24"/>
              </w:rPr>
            </w:pPr>
          </w:p>
        </w:tc>
        <w:tc>
          <w:tcPr>
            <w:tcW w:w="2240" w:type="dxa"/>
            <w:gridSpan w:val="2"/>
            <w:shd w:val="clear" w:color="auto" w:fill="auto"/>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p>
        </w:tc>
        <w:tc>
          <w:tcPr>
            <w:tcW w:w="2038" w:type="dxa"/>
            <w:gridSpan w:val="2"/>
            <w:shd w:val="clear" w:color="auto" w:fill="auto"/>
            <w:vAlign w:val="center"/>
          </w:tcPr>
          <w:p>
            <w:pPr>
              <w:widowControl/>
              <w:jc w:val="center"/>
              <w:rPr>
                <w:rFonts w:ascii="仿宋" w:hAnsi="仿宋" w:eastAsia="仿宋" w:cs="仿宋"/>
                <w:kern w:val="0"/>
                <w:sz w:val="24"/>
              </w:rPr>
            </w:pPr>
          </w:p>
        </w:tc>
        <w:tc>
          <w:tcPr>
            <w:tcW w:w="2240" w:type="dxa"/>
            <w:gridSpan w:val="2"/>
            <w:shd w:val="clear" w:color="auto" w:fill="auto"/>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b/>
                <w:bCs/>
                <w:kern w:val="0"/>
                <w:sz w:val="24"/>
              </w:rPr>
              <w:t>公用经费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12.59</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13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其中：办公费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水费、电费、差旅费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会议费、培训费</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政府采购金额</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部门基本支出预算调整 </w:t>
            </w:r>
          </w:p>
        </w:tc>
        <w:tc>
          <w:tcPr>
            <w:tcW w:w="2038"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2240"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shd w:val="clear" w:color="auto" w:fill="auto"/>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rPr>
              <w:t>楼堂馆所控制情况</w:t>
            </w:r>
          </w:p>
          <w:p>
            <w:pPr>
              <w:widowControl/>
              <w:jc w:val="center"/>
              <w:rPr>
                <w:rFonts w:ascii="仿宋" w:hAnsi="仿宋" w:eastAsia="仿宋" w:cs="仿宋"/>
                <w:kern w:val="0"/>
                <w:sz w:val="24"/>
              </w:rPr>
            </w:pPr>
            <w:r>
              <w:rPr>
                <w:rFonts w:hint="eastAsia" w:ascii="仿宋" w:hAnsi="仿宋" w:eastAsia="仿宋" w:cs="仿宋"/>
                <w:kern w:val="0"/>
                <w:sz w:val="24"/>
              </w:rPr>
              <w:t>（2019年完工项目）</w:t>
            </w:r>
          </w:p>
        </w:tc>
        <w:tc>
          <w:tcPr>
            <w:tcW w:w="1189" w:type="dxa"/>
            <w:shd w:val="clear" w:color="auto" w:fill="auto"/>
            <w:vAlign w:val="center"/>
          </w:tcPr>
          <w:p>
            <w:pPr>
              <w:widowControl/>
              <w:spacing w:line="240" w:lineRule="exact"/>
              <w:jc w:val="center"/>
              <w:rPr>
                <w:rFonts w:hint="eastAsia" w:ascii="仿宋" w:hAnsi="仿宋" w:eastAsia="仿宋" w:cs="仿宋"/>
                <w:bCs/>
                <w:kern w:val="0"/>
                <w:sz w:val="24"/>
                <w:lang w:eastAsia="zh-CN"/>
              </w:rPr>
            </w:pPr>
            <w:r>
              <w:rPr>
                <w:rFonts w:hint="eastAsia" w:ascii="仿宋" w:hAnsi="仿宋" w:eastAsia="仿宋" w:cs="仿宋"/>
                <w:bCs/>
                <w:kern w:val="0"/>
                <w:sz w:val="24"/>
              </w:rPr>
              <w:t>批复规模</w:t>
            </w:r>
          </w:p>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w:t>
            </w:r>
          </w:p>
        </w:tc>
        <w:tc>
          <w:tcPr>
            <w:tcW w:w="849" w:type="dxa"/>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实际规模（㎡）</w:t>
            </w:r>
          </w:p>
        </w:tc>
        <w:tc>
          <w:tcPr>
            <w:tcW w:w="1129" w:type="dxa"/>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规模控制率</w:t>
            </w:r>
          </w:p>
        </w:tc>
        <w:tc>
          <w:tcPr>
            <w:tcW w:w="1111" w:type="dxa"/>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预算投资（万元）</w:t>
            </w:r>
          </w:p>
        </w:tc>
        <w:tc>
          <w:tcPr>
            <w:tcW w:w="969" w:type="dxa"/>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实际投资（万元）</w:t>
            </w:r>
          </w:p>
        </w:tc>
        <w:tc>
          <w:tcPr>
            <w:tcW w:w="863" w:type="dxa"/>
            <w:tcBorders>
              <w:right w:val="single" w:color="auto" w:sz="12" w:space="0"/>
            </w:tcBorders>
            <w:shd w:val="clear" w:color="auto" w:fill="auto"/>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354" w:type="dxa"/>
            <w:vMerge w:val="continue"/>
            <w:tcBorders>
              <w:left w:val="single" w:color="auto" w:sz="12" w:space="0"/>
            </w:tcBorders>
            <w:shd w:val="clear" w:color="auto" w:fill="auto"/>
            <w:vAlign w:val="center"/>
          </w:tcPr>
          <w:p>
            <w:pPr>
              <w:widowControl/>
              <w:jc w:val="left"/>
              <w:rPr>
                <w:rFonts w:ascii="仿宋" w:hAnsi="仿宋" w:eastAsia="仿宋" w:cs="仿宋"/>
                <w:kern w:val="0"/>
                <w:sz w:val="24"/>
              </w:rPr>
            </w:pPr>
          </w:p>
        </w:tc>
        <w:tc>
          <w:tcPr>
            <w:tcW w:w="1189"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849" w:type="dxa"/>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129" w:type="dxa"/>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111" w:type="dxa"/>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969" w:type="dxa"/>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863" w:type="dxa"/>
            <w:tcBorders>
              <w:right w:val="single" w:color="auto" w:sz="12" w:space="0"/>
            </w:tcBorders>
            <w:shd w:val="clear" w:color="auto" w:fill="auto"/>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54" w:type="dxa"/>
            <w:tcBorders>
              <w:left w:val="single" w:color="auto" w:sz="12" w:space="0"/>
              <w:bottom w:val="single" w:color="auto" w:sz="12"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厉行节约保障措施</w:t>
            </w:r>
          </w:p>
        </w:tc>
        <w:tc>
          <w:tcPr>
            <w:tcW w:w="6110" w:type="dxa"/>
            <w:gridSpan w:val="6"/>
            <w:tcBorders>
              <w:bottom w:val="single" w:color="auto" w:sz="12" w:space="0"/>
              <w:right w:val="single" w:color="auto" w:sz="12" w:space="0"/>
            </w:tcBorders>
            <w:shd w:val="clear" w:color="auto" w:fill="auto"/>
            <w:vAlign w:val="center"/>
          </w:tcPr>
          <w:p>
            <w:pPr>
              <w:widowControl/>
              <w:rPr>
                <w:rFonts w:ascii="仿宋" w:hAnsi="仿宋" w:eastAsia="仿宋" w:cs="仿宋"/>
                <w:kern w:val="0"/>
                <w:sz w:val="24"/>
              </w:rPr>
            </w:pPr>
            <w:r>
              <w:rPr>
                <w:rFonts w:hint="eastAsia" w:ascii="仿宋" w:hAnsi="仿宋" w:eastAsia="仿宋" w:cs="仿宋"/>
                <w:kern w:val="0"/>
                <w:sz w:val="24"/>
              </w:rPr>
              <w:t>　</w:t>
            </w:r>
          </w:p>
        </w:tc>
      </w:tr>
    </w:tbl>
    <w:p>
      <w:pPr>
        <w:spacing w:line="360" w:lineRule="exact"/>
        <w:rPr>
          <w:rFonts w:ascii="仿宋" w:hAnsi="仿宋" w:eastAsia="仿宋" w:cs="仿宋"/>
          <w:kern w:val="0"/>
          <w:sz w:val="24"/>
        </w:rPr>
      </w:pPr>
      <w:r>
        <w:rPr>
          <w:rFonts w:hint="eastAsia" w:ascii="仿宋" w:hAnsi="仿宋" w:eastAsia="仿宋" w:cs="仿宋"/>
          <w:kern w:val="0"/>
          <w:szCs w:val="21"/>
        </w:rPr>
        <w:t>说明：“项目支出”需要填报基本支出以外的所有项目支出情况，“公用经费”填报基本支出中的一般商品和服务支出。</w:t>
      </w:r>
    </w:p>
    <w:p>
      <w:pPr>
        <w:spacing w:line="360" w:lineRule="exact"/>
        <w:rPr>
          <w:rFonts w:ascii="Times New Roman" w:hAnsi="Times New Roman" w:eastAsia="仿宋_GB2312"/>
          <w:kern w:val="0"/>
          <w:sz w:val="24"/>
        </w:rPr>
        <w:sectPr>
          <w:pgSz w:w="11906" w:h="16838"/>
          <w:pgMar w:top="1134" w:right="1701" w:bottom="1134" w:left="1701" w:header="851" w:footer="992" w:gutter="0"/>
          <w:cols w:space="720" w:num="1"/>
          <w:docGrid w:type="lines" w:linePitch="312" w:charSpace="0"/>
        </w:sectPr>
      </w:pPr>
      <w:r>
        <w:rPr>
          <w:rFonts w:ascii="Times New Roman" w:hAnsi="Times New Roman" w:eastAsia="仿宋_GB2312"/>
          <w:kern w:val="0"/>
          <w:sz w:val="24"/>
        </w:rPr>
        <w:t>填表人：</w:t>
      </w:r>
      <w:r>
        <w:rPr>
          <w:rFonts w:hint="eastAsia" w:ascii="Times New Roman" w:hAnsi="Times New Roman" w:eastAsia="仿宋_GB2312"/>
          <w:kern w:val="0"/>
          <w:sz w:val="24"/>
        </w:rPr>
        <w:t>汤萍</w:t>
      </w:r>
      <w:r>
        <w:rPr>
          <w:rFonts w:ascii="Times New Roman" w:hAnsi="Times New Roman" w:eastAsia="仿宋_GB2312"/>
          <w:kern w:val="0"/>
          <w:sz w:val="24"/>
        </w:rPr>
        <w:t>日期：</w:t>
      </w:r>
      <w:r>
        <w:rPr>
          <w:rFonts w:hint="eastAsia" w:ascii="Times New Roman" w:hAnsi="Times New Roman" w:eastAsia="仿宋_GB2312"/>
          <w:kern w:val="0"/>
          <w:sz w:val="24"/>
        </w:rPr>
        <w:t>2021-4-26</w:t>
      </w:r>
      <w:r>
        <w:rPr>
          <w:rFonts w:ascii="Times New Roman" w:hAnsi="Times New Roman" w:eastAsia="仿宋_GB2312"/>
          <w:kern w:val="0"/>
          <w:sz w:val="24"/>
        </w:rPr>
        <w:t xml:space="preserve"> 联系电话：</w:t>
      </w:r>
      <w:r>
        <w:rPr>
          <w:rFonts w:hint="eastAsia" w:ascii="Times New Roman" w:hAnsi="Times New Roman" w:eastAsia="仿宋_GB2312"/>
          <w:kern w:val="0"/>
          <w:sz w:val="24"/>
        </w:rPr>
        <w:t>0731-85582045</w:t>
      </w:r>
      <w:r>
        <w:rPr>
          <w:rFonts w:ascii="Times New Roman" w:hAnsi="Times New Roman" w:eastAsia="仿宋_GB2312"/>
          <w:kern w:val="0"/>
          <w:sz w:val="24"/>
        </w:rPr>
        <w:t xml:space="preserve">  单位负责人签字</w:t>
      </w:r>
      <w:r>
        <w:rPr>
          <w:rFonts w:hint="eastAsia" w:ascii="Times New Roman" w:hAnsi="Times New Roman"/>
          <w:kern w:val="0"/>
          <w:sz w:val="24"/>
        </w:rPr>
        <w:t>：</w:t>
      </w:r>
    </w:p>
    <w:p>
      <w:pPr>
        <w:spacing w:line="360" w:lineRule="exact"/>
        <w:rPr>
          <w:rFonts w:eastAsia="黑体"/>
          <w:sz w:val="32"/>
          <w:szCs w:val="32"/>
        </w:rPr>
      </w:pPr>
      <w:r>
        <w:rPr>
          <w:rFonts w:eastAsia="黑体"/>
          <w:sz w:val="32"/>
          <w:szCs w:val="32"/>
        </w:rPr>
        <w:t>附件</w:t>
      </w:r>
      <w:r>
        <w:rPr>
          <w:rFonts w:hint="eastAsia" w:eastAsia="黑体"/>
          <w:sz w:val="32"/>
          <w:szCs w:val="32"/>
        </w:rPr>
        <w:t>2</w:t>
      </w:r>
    </w:p>
    <w:p>
      <w:pPr>
        <w:spacing w:line="560" w:lineRule="exact"/>
        <w:jc w:val="center"/>
        <w:rPr>
          <w:rFonts w:eastAsia="方正小标宋_GBK"/>
          <w:kern w:val="0"/>
          <w:sz w:val="32"/>
          <w:szCs w:val="32"/>
        </w:rPr>
      </w:pPr>
      <w:r>
        <w:rPr>
          <w:rFonts w:hint="eastAsia" w:eastAsia="方正小标宋_GBK"/>
          <w:kern w:val="0"/>
          <w:sz w:val="32"/>
          <w:szCs w:val="32"/>
        </w:rPr>
        <w:t>2020年度整体支出绩效自评表</w:t>
      </w:r>
    </w:p>
    <w:tbl>
      <w:tblPr>
        <w:tblStyle w:val="5"/>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639"/>
        <w:gridCol w:w="743"/>
        <w:gridCol w:w="391"/>
        <w:gridCol w:w="1621"/>
        <w:gridCol w:w="283"/>
        <w:gridCol w:w="1330"/>
        <w:gridCol w:w="1302"/>
        <w:gridCol w:w="709"/>
        <w:gridCol w:w="643"/>
        <w:gridCol w:w="31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b/>
                <w:bCs/>
                <w:color w:val="000000"/>
                <w:kern w:val="0"/>
                <w:sz w:val="24"/>
              </w:rPr>
              <w:t>省级预算部门名称</w:t>
            </w:r>
            <w:r>
              <w:rPr>
                <w:rFonts w:eastAsia="仿宋_GB2312"/>
                <w:color w:val="000000"/>
                <w:kern w:val="0"/>
                <w:sz w:val="24"/>
              </w:rPr>
              <w:t>　</w:t>
            </w:r>
          </w:p>
        </w:tc>
        <w:tc>
          <w:tcPr>
            <w:tcW w:w="7812" w:type="dxa"/>
            <w:gridSpan w:val="9"/>
            <w:tcBorders>
              <w:top w:val="single" w:color="auto" w:sz="12" w:space="0"/>
              <w:left w:val="single" w:color="auto" w:sz="4" w:space="0"/>
              <w:right w:val="single" w:color="auto" w:sz="12"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30"/>
                <w:szCs w:val="30"/>
              </w:rPr>
              <w:t>湖南省林产品质量检验检测中心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rFonts w:eastAsia="仿宋_GB2312"/>
                <w:b/>
                <w:bCs/>
                <w:color w:val="000000"/>
                <w:kern w:val="0"/>
                <w:sz w:val="24"/>
              </w:rPr>
            </w:pPr>
            <w:r>
              <w:rPr>
                <w:rFonts w:eastAsia="仿宋_GB2312"/>
                <w:b/>
                <w:bCs/>
                <w:color w:val="000000"/>
                <w:kern w:val="0"/>
                <w:sz w:val="24"/>
              </w:rPr>
              <w:t>年度预</w:t>
            </w:r>
          </w:p>
          <w:p>
            <w:pPr>
              <w:widowControl/>
              <w:jc w:val="center"/>
              <w:rPr>
                <w:rFonts w:hint="eastAsia" w:eastAsia="仿宋_GB2312"/>
                <w:b/>
                <w:bCs/>
                <w:color w:val="000000"/>
                <w:kern w:val="0"/>
                <w:sz w:val="24"/>
                <w:lang w:eastAsia="zh-CN"/>
              </w:rPr>
            </w:pPr>
            <w:r>
              <w:rPr>
                <w:rFonts w:eastAsia="仿宋_GB2312"/>
                <w:b/>
                <w:bCs/>
                <w:color w:val="000000"/>
                <w:kern w:val="0"/>
                <w:sz w:val="24"/>
              </w:rPr>
              <w:t>算申请</w:t>
            </w:r>
          </w:p>
          <w:p>
            <w:pPr>
              <w:widowControl/>
              <w:jc w:val="center"/>
              <w:rPr>
                <w:rFonts w:eastAsia="仿宋_GB2312"/>
                <w:b/>
                <w:bCs/>
                <w:color w:val="000000"/>
                <w:kern w:val="0"/>
                <w:sz w:val="24"/>
              </w:rPr>
            </w:pPr>
            <w:r>
              <w:rPr>
                <w:rFonts w:eastAsia="仿宋_GB2312"/>
                <w:b/>
                <w:bCs/>
                <w:color w:val="000000"/>
                <w:kern w:val="0"/>
                <w:szCs w:val="21"/>
              </w:rPr>
              <w:t>（万元）</w:t>
            </w:r>
          </w:p>
        </w:tc>
        <w:tc>
          <w:tcPr>
            <w:tcW w:w="1773" w:type="dxa"/>
            <w:gridSpan w:val="3"/>
            <w:tcBorders>
              <w:left w:val="single" w:color="auto" w:sz="4" w:space="0"/>
              <w:right w:val="single" w:color="auto" w:sz="4" w:space="0"/>
            </w:tcBorders>
            <w:shd w:val="clear" w:color="auto" w:fill="auto"/>
            <w:vAlign w:val="center"/>
          </w:tcPr>
          <w:p>
            <w:pPr>
              <w:spacing w:line="240" w:lineRule="exact"/>
              <w:jc w:val="center"/>
              <w:rPr>
                <w:rFonts w:eastAsia="仿宋_GB2312"/>
                <w:b/>
                <w:bCs/>
                <w:sz w:val="24"/>
              </w:rPr>
            </w:pPr>
          </w:p>
        </w:tc>
        <w:tc>
          <w:tcPr>
            <w:tcW w:w="1621" w:type="dxa"/>
            <w:tcBorders>
              <w:left w:val="single" w:color="auto" w:sz="4" w:space="0"/>
              <w:right w:val="single" w:color="auto" w:sz="4" w:space="0"/>
            </w:tcBorders>
            <w:shd w:val="clear" w:color="auto" w:fill="auto"/>
            <w:vAlign w:val="center"/>
          </w:tcPr>
          <w:p>
            <w:pPr>
              <w:spacing w:line="240" w:lineRule="exact"/>
              <w:jc w:val="center"/>
              <w:rPr>
                <w:rFonts w:eastAsia="仿宋_GB2312"/>
                <w:b/>
                <w:bCs/>
                <w:sz w:val="24"/>
              </w:rPr>
            </w:pPr>
            <w:r>
              <w:rPr>
                <w:rFonts w:eastAsia="仿宋_GB2312"/>
                <w:b/>
                <w:bCs/>
                <w:sz w:val="24"/>
              </w:rPr>
              <w:t>年初</w:t>
            </w:r>
          </w:p>
          <w:p>
            <w:pPr>
              <w:spacing w:line="240" w:lineRule="exact"/>
              <w:jc w:val="center"/>
              <w:rPr>
                <w:rFonts w:eastAsia="仿宋_GB2312"/>
                <w:b/>
                <w:bCs/>
                <w:sz w:val="24"/>
              </w:rPr>
            </w:pPr>
            <w:r>
              <w:rPr>
                <w:rFonts w:eastAsia="仿宋_GB2312"/>
                <w:b/>
                <w:bCs/>
                <w:sz w:val="24"/>
              </w:rPr>
              <w:t>预算数</w:t>
            </w:r>
          </w:p>
        </w:tc>
        <w:tc>
          <w:tcPr>
            <w:tcW w:w="1613" w:type="dxa"/>
            <w:gridSpan w:val="2"/>
            <w:tcBorders>
              <w:left w:val="single" w:color="auto" w:sz="4" w:space="0"/>
              <w:right w:val="single" w:color="auto" w:sz="4" w:space="0"/>
            </w:tcBorders>
            <w:shd w:val="clear" w:color="auto" w:fill="auto"/>
            <w:vAlign w:val="center"/>
          </w:tcPr>
          <w:p>
            <w:pPr>
              <w:spacing w:line="240" w:lineRule="exact"/>
              <w:jc w:val="center"/>
              <w:rPr>
                <w:rFonts w:eastAsia="仿宋_GB2312"/>
                <w:b/>
                <w:bCs/>
                <w:sz w:val="24"/>
              </w:rPr>
            </w:pPr>
            <w:r>
              <w:rPr>
                <w:rFonts w:eastAsia="仿宋_GB2312"/>
                <w:b/>
                <w:bCs/>
                <w:sz w:val="24"/>
              </w:rPr>
              <w:t>全年预算数</w:t>
            </w:r>
          </w:p>
        </w:tc>
        <w:tc>
          <w:tcPr>
            <w:tcW w:w="1302" w:type="dxa"/>
            <w:tcBorders>
              <w:left w:val="single" w:color="auto" w:sz="4" w:space="0"/>
              <w:right w:val="single" w:color="auto" w:sz="4" w:space="0"/>
            </w:tcBorders>
            <w:shd w:val="clear" w:color="auto" w:fill="auto"/>
            <w:vAlign w:val="center"/>
          </w:tcPr>
          <w:p>
            <w:pPr>
              <w:spacing w:line="240" w:lineRule="exact"/>
              <w:jc w:val="center"/>
              <w:rPr>
                <w:rFonts w:eastAsia="仿宋_GB2312"/>
                <w:b/>
                <w:bCs/>
                <w:sz w:val="24"/>
              </w:rPr>
            </w:pPr>
            <w:r>
              <w:rPr>
                <w:rFonts w:eastAsia="仿宋_GB2312"/>
                <w:b/>
                <w:bCs/>
                <w:sz w:val="24"/>
              </w:rPr>
              <w:t>全年</w:t>
            </w:r>
          </w:p>
          <w:p>
            <w:pPr>
              <w:spacing w:line="240" w:lineRule="exact"/>
              <w:jc w:val="center"/>
              <w:rPr>
                <w:rFonts w:eastAsia="仿宋_GB2312"/>
                <w:b/>
                <w:bCs/>
                <w:sz w:val="24"/>
              </w:rPr>
            </w:pPr>
            <w:r>
              <w:rPr>
                <w:rFonts w:eastAsia="仿宋_GB2312"/>
                <w:b/>
                <w:bCs/>
                <w:sz w:val="24"/>
              </w:rPr>
              <w:t>执行数</w:t>
            </w:r>
          </w:p>
        </w:tc>
        <w:tc>
          <w:tcPr>
            <w:tcW w:w="709" w:type="dxa"/>
            <w:tcBorders>
              <w:left w:val="single" w:color="auto" w:sz="4" w:space="0"/>
              <w:right w:val="single" w:color="auto" w:sz="4" w:space="0"/>
            </w:tcBorders>
            <w:shd w:val="clear" w:color="auto" w:fill="auto"/>
            <w:vAlign w:val="center"/>
          </w:tcPr>
          <w:p>
            <w:pPr>
              <w:spacing w:line="240" w:lineRule="exact"/>
              <w:jc w:val="center"/>
              <w:rPr>
                <w:rFonts w:eastAsia="仿宋_GB2312"/>
                <w:b/>
                <w:bCs/>
                <w:sz w:val="24"/>
              </w:rPr>
            </w:pPr>
            <w:r>
              <w:rPr>
                <w:rFonts w:eastAsia="仿宋_GB2312"/>
                <w:b/>
                <w:bCs/>
                <w:sz w:val="24"/>
              </w:rPr>
              <w:t>分值</w:t>
            </w:r>
          </w:p>
        </w:tc>
        <w:tc>
          <w:tcPr>
            <w:tcW w:w="959" w:type="dxa"/>
            <w:gridSpan w:val="2"/>
            <w:tcBorders>
              <w:left w:val="single" w:color="auto" w:sz="4" w:space="0"/>
              <w:right w:val="single" w:color="auto" w:sz="4" w:space="0"/>
            </w:tcBorders>
            <w:shd w:val="clear" w:color="auto" w:fill="auto"/>
            <w:vAlign w:val="center"/>
          </w:tcPr>
          <w:p>
            <w:pPr>
              <w:spacing w:line="240" w:lineRule="exact"/>
              <w:jc w:val="center"/>
              <w:rPr>
                <w:rFonts w:eastAsia="仿宋_GB2312"/>
                <w:b/>
                <w:bCs/>
                <w:sz w:val="24"/>
              </w:rPr>
            </w:pPr>
            <w:r>
              <w:rPr>
                <w:rFonts w:eastAsia="仿宋_GB2312"/>
                <w:b/>
                <w:bCs/>
                <w:sz w:val="24"/>
              </w:rPr>
              <w:t>执行率</w:t>
            </w:r>
          </w:p>
        </w:tc>
        <w:tc>
          <w:tcPr>
            <w:tcW w:w="1217" w:type="dxa"/>
            <w:tcBorders>
              <w:left w:val="single" w:color="auto" w:sz="4" w:space="0"/>
              <w:right w:val="single" w:color="auto" w:sz="12" w:space="0"/>
            </w:tcBorders>
            <w:shd w:val="clear" w:color="auto" w:fill="auto"/>
            <w:vAlign w:val="center"/>
          </w:tcPr>
          <w:p>
            <w:pPr>
              <w:spacing w:line="240" w:lineRule="exact"/>
              <w:jc w:val="center"/>
              <w:rPr>
                <w:rFonts w:eastAsia="仿宋_GB2312"/>
                <w:b/>
                <w:bCs/>
                <w:sz w:val="24"/>
              </w:rPr>
            </w:pPr>
            <w:r>
              <w:rPr>
                <w:rFonts w:eastAsia="仿宋_GB2312"/>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center"/>
              <w:rPr>
                <w:rFonts w:eastAsia="仿宋_GB2312"/>
                <w:b/>
                <w:bCs/>
                <w:color w:val="000000"/>
                <w:kern w:val="0"/>
                <w:sz w:val="24"/>
              </w:rPr>
            </w:pPr>
          </w:p>
        </w:tc>
        <w:tc>
          <w:tcPr>
            <w:tcW w:w="1773" w:type="dxa"/>
            <w:gridSpan w:val="3"/>
            <w:tcBorders>
              <w:left w:val="single" w:color="auto" w:sz="4" w:space="0"/>
              <w:right w:val="single" w:color="auto" w:sz="4" w:space="0"/>
            </w:tcBorders>
            <w:shd w:val="clear" w:color="auto" w:fill="auto"/>
            <w:vAlign w:val="center"/>
          </w:tcPr>
          <w:p>
            <w:pPr>
              <w:jc w:val="center"/>
              <w:rPr>
                <w:rFonts w:eastAsia="仿宋_GB2312"/>
                <w:sz w:val="24"/>
              </w:rPr>
            </w:pPr>
            <w:r>
              <w:rPr>
                <w:rFonts w:eastAsia="仿宋_GB2312"/>
                <w:color w:val="000000"/>
                <w:kern w:val="0"/>
                <w:sz w:val="24"/>
              </w:rPr>
              <w:t>年度资金总额</w:t>
            </w:r>
          </w:p>
        </w:tc>
        <w:tc>
          <w:tcPr>
            <w:tcW w:w="1621" w:type="dxa"/>
            <w:tcBorders>
              <w:left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607.20</w:t>
            </w:r>
          </w:p>
        </w:tc>
        <w:tc>
          <w:tcPr>
            <w:tcW w:w="1613" w:type="dxa"/>
            <w:gridSpan w:val="2"/>
            <w:tcBorders>
              <w:left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879.93</w:t>
            </w:r>
          </w:p>
        </w:tc>
        <w:tc>
          <w:tcPr>
            <w:tcW w:w="1302" w:type="dxa"/>
            <w:tcBorders>
              <w:left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680.76</w:t>
            </w:r>
          </w:p>
        </w:tc>
        <w:tc>
          <w:tcPr>
            <w:tcW w:w="709" w:type="dxa"/>
            <w:tcBorders>
              <w:left w:val="single" w:color="auto" w:sz="4" w:space="0"/>
              <w:right w:val="single" w:color="auto" w:sz="4" w:space="0"/>
            </w:tcBorders>
            <w:shd w:val="clear" w:color="auto" w:fill="auto"/>
            <w:vAlign w:val="center"/>
          </w:tcPr>
          <w:p>
            <w:pPr>
              <w:jc w:val="center"/>
              <w:rPr>
                <w:rFonts w:eastAsia="仿宋_GB2312"/>
                <w:sz w:val="24"/>
              </w:rPr>
            </w:pPr>
            <w:r>
              <w:rPr>
                <w:rFonts w:eastAsia="仿宋_GB2312"/>
                <w:sz w:val="24"/>
              </w:rPr>
              <w:t>10</w:t>
            </w:r>
          </w:p>
        </w:tc>
        <w:tc>
          <w:tcPr>
            <w:tcW w:w="959" w:type="dxa"/>
            <w:gridSpan w:val="2"/>
            <w:tcBorders>
              <w:left w:val="single" w:color="auto" w:sz="4" w:space="0"/>
              <w:right w:val="single" w:color="auto" w:sz="4" w:space="0"/>
            </w:tcBorders>
            <w:shd w:val="clear" w:color="auto" w:fill="auto"/>
            <w:vAlign w:val="center"/>
          </w:tcPr>
          <w:p>
            <w:pPr>
              <w:jc w:val="center"/>
              <w:rPr>
                <w:rFonts w:eastAsia="仿宋_GB2312"/>
                <w:sz w:val="24"/>
              </w:rPr>
            </w:pPr>
            <w:r>
              <w:rPr>
                <w:rFonts w:hint="eastAsia" w:eastAsia="仿宋_GB2312"/>
                <w:sz w:val="24"/>
              </w:rPr>
              <w:t>77.36%</w:t>
            </w:r>
          </w:p>
        </w:tc>
        <w:tc>
          <w:tcPr>
            <w:tcW w:w="1217" w:type="dxa"/>
            <w:tcBorders>
              <w:left w:val="single" w:color="auto" w:sz="4" w:space="0"/>
              <w:right w:val="single" w:color="auto" w:sz="12" w:space="0"/>
            </w:tcBorders>
            <w:shd w:val="clear" w:color="auto" w:fill="auto"/>
            <w:vAlign w:val="center"/>
          </w:tcPr>
          <w:p>
            <w:pPr>
              <w:jc w:val="center"/>
              <w:rPr>
                <w:rFonts w:eastAsia="仿宋_GB2312"/>
                <w:sz w:val="24"/>
              </w:rPr>
            </w:pPr>
            <w:r>
              <w:rPr>
                <w:rFonts w:hint="eastAsia" w:eastAsia="仿宋_GB2312"/>
                <w:sz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按收入性质分：</w:t>
            </w:r>
          </w:p>
        </w:tc>
        <w:tc>
          <w:tcPr>
            <w:tcW w:w="4187" w:type="dxa"/>
            <w:gridSpan w:val="5"/>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 xml:space="preserve">  其中：  一般公共预算：</w:t>
            </w:r>
            <w:r>
              <w:rPr>
                <w:rFonts w:hint="eastAsia" w:eastAsia="仿宋_GB2312"/>
                <w:color w:val="000000"/>
                <w:kern w:val="0"/>
                <w:sz w:val="24"/>
              </w:rPr>
              <w:t>834.30</w:t>
            </w:r>
          </w:p>
        </w:tc>
        <w:tc>
          <w:tcPr>
            <w:tcW w:w="4187" w:type="dxa"/>
            <w:gridSpan w:val="5"/>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其中：基本支出：</w:t>
            </w:r>
            <w:r>
              <w:rPr>
                <w:rFonts w:hint="eastAsia" w:eastAsia="仿宋_GB2312"/>
                <w:color w:val="000000"/>
                <w:kern w:val="0"/>
                <w:sz w:val="24"/>
              </w:rPr>
              <w:t>372.30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ind w:firstLine="960" w:firstLineChars="400"/>
              <w:jc w:val="left"/>
              <w:rPr>
                <w:rFonts w:eastAsia="仿宋_GB2312"/>
                <w:color w:val="000000"/>
                <w:kern w:val="0"/>
                <w:sz w:val="24"/>
              </w:rPr>
            </w:pPr>
            <w:r>
              <w:rPr>
                <w:rFonts w:eastAsia="仿宋_GB2312"/>
                <w:color w:val="000000"/>
                <w:kern w:val="0"/>
                <w:sz w:val="24"/>
              </w:rPr>
              <w:t>政府性基金拨款：</w:t>
            </w:r>
          </w:p>
        </w:tc>
        <w:tc>
          <w:tcPr>
            <w:tcW w:w="4187" w:type="dxa"/>
            <w:gridSpan w:val="5"/>
            <w:tcBorders>
              <w:left w:val="single" w:color="auto" w:sz="4" w:space="0"/>
              <w:right w:val="single" w:color="auto" w:sz="12" w:space="0"/>
            </w:tcBorders>
            <w:shd w:val="clear" w:color="auto" w:fill="auto"/>
            <w:vAlign w:val="center"/>
          </w:tcPr>
          <w:p>
            <w:pPr>
              <w:widowControl/>
              <w:ind w:firstLine="720" w:firstLineChars="300"/>
              <w:jc w:val="left"/>
              <w:rPr>
                <w:rFonts w:eastAsia="仿宋_GB2312"/>
                <w:color w:val="000000"/>
                <w:kern w:val="0"/>
                <w:sz w:val="24"/>
              </w:rPr>
            </w:pPr>
            <w:r>
              <w:rPr>
                <w:rFonts w:eastAsia="仿宋_GB2312"/>
                <w:color w:val="000000"/>
                <w:kern w:val="0"/>
                <w:sz w:val="24"/>
              </w:rPr>
              <w:t>项目支出：</w:t>
            </w:r>
            <w:r>
              <w:rPr>
                <w:rFonts w:hint="eastAsia" w:eastAsia="仿宋_GB2312"/>
                <w:color w:val="000000"/>
                <w:kern w:val="0"/>
                <w:sz w:val="24"/>
              </w:rPr>
              <w:t>507.63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纳入专户管理的非税收入拨款：</w:t>
            </w:r>
          </w:p>
        </w:tc>
        <w:tc>
          <w:tcPr>
            <w:tcW w:w="4187" w:type="dxa"/>
            <w:gridSpan w:val="5"/>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widowControl/>
              <w:ind w:firstLine="1680" w:firstLineChars="700"/>
              <w:jc w:val="left"/>
              <w:rPr>
                <w:rFonts w:eastAsia="仿宋_GB2312"/>
                <w:color w:val="000000"/>
                <w:kern w:val="0"/>
                <w:sz w:val="24"/>
              </w:rPr>
            </w:pPr>
            <w:r>
              <w:rPr>
                <w:rFonts w:eastAsia="仿宋_GB2312"/>
                <w:color w:val="000000"/>
                <w:kern w:val="0"/>
                <w:sz w:val="24"/>
              </w:rPr>
              <w:t>其他资金：</w:t>
            </w:r>
            <w:r>
              <w:rPr>
                <w:rFonts w:hint="eastAsia" w:eastAsia="仿宋_GB2312"/>
                <w:color w:val="000000"/>
                <w:kern w:val="0"/>
                <w:sz w:val="24"/>
              </w:rPr>
              <w:t>45.63</w:t>
            </w:r>
          </w:p>
        </w:tc>
        <w:tc>
          <w:tcPr>
            <w:tcW w:w="4187" w:type="dxa"/>
            <w:gridSpan w:val="5"/>
            <w:tcBorders>
              <w:left w:val="single" w:color="auto" w:sz="4" w:space="0"/>
              <w:right w:val="single" w:color="auto" w:sz="12" w:space="0"/>
            </w:tcBorders>
            <w:shd w:val="clear" w:color="auto" w:fill="auto"/>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rFonts w:eastAsia="仿宋_GB2312"/>
                <w:b/>
                <w:bCs/>
                <w:color w:val="000000"/>
                <w:kern w:val="0"/>
                <w:sz w:val="24"/>
              </w:rPr>
            </w:pPr>
            <w:r>
              <w:rPr>
                <w:rFonts w:eastAsia="仿宋_GB2312"/>
                <w:b/>
                <w:bCs/>
                <w:color w:val="000000"/>
                <w:kern w:val="0"/>
                <w:sz w:val="24"/>
              </w:rPr>
              <w:t>年度总目标</w:t>
            </w:r>
          </w:p>
        </w:tc>
        <w:tc>
          <w:tcPr>
            <w:tcW w:w="5007" w:type="dxa"/>
            <w:gridSpan w:val="6"/>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预期目标</w:t>
            </w:r>
          </w:p>
        </w:tc>
        <w:tc>
          <w:tcPr>
            <w:tcW w:w="4187" w:type="dxa"/>
            <w:gridSpan w:val="5"/>
            <w:tcBorders>
              <w:left w:val="single" w:color="auto" w:sz="4" w:space="0"/>
              <w:right w:val="single" w:color="auto" w:sz="12"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left"/>
              <w:rPr>
                <w:rFonts w:eastAsia="仿宋_GB2312"/>
                <w:color w:val="000000"/>
                <w:kern w:val="0"/>
                <w:sz w:val="24"/>
              </w:rPr>
            </w:pPr>
          </w:p>
        </w:tc>
        <w:tc>
          <w:tcPr>
            <w:tcW w:w="5007" w:type="dxa"/>
            <w:gridSpan w:val="6"/>
            <w:tcBorders>
              <w:left w:val="single" w:color="auto" w:sz="4" w:space="0"/>
              <w:right w:val="single" w:color="auto" w:sz="4" w:space="0"/>
            </w:tcBorders>
            <w:shd w:val="clear" w:color="auto" w:fill="auto"/>
            <w:vAlign w:val="center"/>
          </w:tcPr>
          <w:p>
            <w:pPr>
              <w:spacing w:line="6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加强林产品和种苗质量监测，积极推进溯源体系建设；加强珍贵木材陈列室建设，展现湖南林业风采；加强治理体系现代化建设；提供优质高效服务，保证人员经费和日常公用经费，确保日常运行。</w:t>
            </w:r>
          </w:p>
          <w:p>
            <w:pPr>
              <w:widowControl/>
              <w:jc w:val="center"/>
              <w:rPr>
                <w:rFonts w:eastAsia="仿宋_GB2312"/>
                <w:color w:val="000000"/>
                <w:kern w:val="0"/>
                <w:sz w:val="24"/>
              </w:rPr>
            </w:pPr>
            <w:r>
              <w:rPr>
                <w:rFonts w:eastAsia="仿宋_GB2312"/>
                <w:color w:val="000000"/>
                <w:kern w:val="0"/>
                <w:sz w:val="24"/>
              </w:rPr>
              <w:t>　</w:t>
            </w:r>
          </w:p>
        </w:tc>
        <w:tc>
          <w:tcPr>
            <w:tcW w:w="4187" w:type="dxa"/>
            <w:gridSpan w:val="5"/>
            <w:tcBorders>
              <w:left w:val="single" w:color="auto" w:sz="4" w:space="0"/>
              <w:right w:val="single" w:color="auto" w:sz="12" w:space="0"/>
            </w:tcBorders>
            <w:shd w:val="clear" w:color="auto" w:fill="auto"/>
            <w:vAlign w:val="center"/>
          </w:tcPr>
          <w:p>
            <w:pPr>
              <w:spacing w:line="6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加强林产品和种苗质量监测，积极推进溯源体系建设；加强珍贵木材陈列室建设，展现湖南林业风采；加强治理体系现代化建设；提供优质高效服务，保证人员经费和日常公用经费，确保日常运行。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shd w:val="clear" w:color="auto" w:fill="auto"/>
            <w:vAlign w:val="center"/>
          </w:tcPr>
          <w:p>
            <w:pPr>
              <w:widowControl/>
              <w:jc w:val="center"/>
              <w:rPr>
                <w:rFonts w:eastAsia="仿宋_GB2312"/>
                <w:b/>
                <w:bCs/>
                <w:color w:val="000000"/>
                <w:kern w:val="0"/>
                <w:sz w:val="24"/>
              </w:rPr>
            </w:pPr>
            <w:r>
              <w:rPr>
                <w:rFonts w:eastAsia="仿宋_GB2312"/>
                <w:b/>
                <w:bCs/>
                <w:color w:val="000000"/>
                <w:kern w:val="0"/>
                <w:sz w:val="24"/>
              </w:rPr>
              <w:t>绩</w:t>
            </w:r>
          </w:p>
          <w:p>
            <w:pPr>
              <w:widowControl/>
              <w:jc w:val="center"/>
              <w:rPr>
                <w:rFonts w:eastAsia="仿宋_GB2312"/>
                <w:b/>
                <w:bCs/>
                <w:color w:val="000000"/>
                <w:kern w:val="0"/>
                <w:sz w:val="24"/>
              </w:rPr>
            </w:pPr>
            <w:r>
              <w:rPr>
                <w:rFonts w:eastAsia="仿宋_GB2312"/>
                <w:b/>
                <w:bCs/>
                <w:color w:val="000000"/>
                <w:kern w:val="0"/>
                <w:sz w:val="24"/>
              </w:rPr>
              <w:t>效</w:t>
            </w:r>
          </w:p>
          <w:p>
            <w:pPr>
              <w:widowControl/>
              <w:jc w:val="center"/>
              <w:rPr>
                <w:rFonts w:eastAsia="仿宋_GB2312"/>
                <w:b/>
                <w:bCs/>
                <w:color w:val="000000"/>
                <w:kern w:val="0"/>
                <w:sz w:val="24"/>
              </w:rPr>
            </w:pPr>
            <w:r>
              <w:rPr>
                <w:rFonts w:eastAsia="仿宋_GB2312"/>
                <w:b/>
                <w:bCs/>
                <w:color w:val="000000"/>
                <w:kern w:val="0"/>
                <w:sz w:val="24"/>
              </w:rPr>
              <w:t>指</w:t>
            </w:r>
          </w:p>
          <w:p>
            <w:pPr>
              <w:widowControl/>
              <w:jc w:val="center"/>
              <w:rPr>
                <w:rFonts w:eastAsia="仿宋_GB2312"/>
                <w:color w:val="000000"/>
                <w:kern w:val="0"/>
                <w:sz w:val="24"/>
              </w:rPr>
            </w:pPr>
            <w:r>
              <w:rPr>
                <w:rFonts w:eastAsia="仿宋_GB2312"/>
                <w:b/>
                <w:bCs/>
                <w:color w:val="000000"/>
                <w:kern w:val="0"/>
                <w:sz w:val="24"/>
              </w:rPr>
              <w:t>标</w:t>
            </w:r>
          </w:p>
        </w:tc>
        <w:tc>
          <w:tcPr>
            <w:tcW w:w="639" w:type="dxa"/>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rPr>
            </w:pPr>
            <w:r>
              <w:rPr>
                <w:rFonts w:eastAsia="仿宋_GB2312"/>
                <w:color w:val="000000"/>
                <w:kern w:val="0"/>
                <w:sz w:val="24"/>
              </w:rPr>
              <w:t>一级指标</w:t>
            </w:r>
          </w:p>
        </w:tc>
        <w:tc>
          <w:tcPr>
            <w:tcW w:w="1134" w:type="dxa"/>
            <w:gridSpan w:val="2"/>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rPr>
            </w:pPr>
            <w:r>
              <w:rPr>
                <w:rFonts w:eastAsia="仿宋_GB2312"/>
                <w:color w:val="000000"/>
                <w:kern w:val="0"/>
                <w:sz w:val="24"/>
              </w:rPr>
              <w:t>二级指标</w:t>
            </w:r>
          </w:p>
        </w:tc>
        <w:tc>
          <w:tcPr>
            <w:tcW w:w="1904" w:type="dxa"/>
            <w:gridSpan w:val="2"/>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rPr>
            </w:pPr>
            <w:r>
              <w:rPr>
                <w:rFonts w:eastAsia="仿宋_GB2312"/>
                <w:color w:val="000000"/>
                <w:kern w:val="0"/>
                <w:sz w:val="24"/>
              </w:rPr>
              <w:t>三级指标</w:t>
            </w:r>
          </w:p>
        </w:tc>
        <w:tc>
          <w:tcPr>
            <w:tcW w:w="1330" w:type="dxa"/>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rPr>
            </w:pPr>
            <w:r>
              <w:rPr>
                <w:rFonts w:eastAsia="仿宋_GB2312"/>
                <w:color w:val="000000"/>
                <w:kern w:val="0"/>
                <w:sz w:val="24"/>
              </w:rPr>
              <w:t>年度</w:t>
            </w:r>
          </w:p>
          <w:p>
            <w:pPr>
              <w:widowControl/>
              <w:spacing w:line="240" w:lineRule="exact"/>
              <w:jc w:val="center"/>
              <w:rPr>
                <w:rFonts w:eastAsia="仿宋_GB2312"/>
                <w:color w:val="000000"/>
                <w:kern w:val="0"/>
                <w:sz w:val="24"/>
              </w:rPr>
            </w:pPr>
            <w:r>
              <w:rPr>
                <w:rFonts w:eastAsia="仿宋_GB2312"/>
                <w:color w:val="000000"/>
                <w:kern w:val="0"/>
                <w:sz w:val="24"/>
              </w:rPr>
              <w:t>指标值</w:t>
            </w:r>
          </w:p>
        </w:tc>
        <w:tc>
          <w:tcPr>
            <w:tcW w:w="1302" w:type="dxa"/>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rPr>
            </w:pPr>
            <w:r>
              <w:rPr>
                <w:rFonts w:eastAsia="仿宋_GB2312"/>
                <w:color w:val="000000"/>
                <w:kern w:val="0"/>
                <w:sz w:val="24"/>
              </w:rPr>
              <w:t>实际</w:t>
            </w:r>
          </w:p>
          <w:p>
            <w:pPr>
              <w:widowControl/>
              <w:spacing w:line="240" w:lineRule="exact"/>
              <w:jc w:val="center"/>
              <w:rPr>
                <w:rFonts w:eastAsia="仿宋_GB2312"/>
                <w:color w:val="000000"/>
                <w:kern w:val="0"/>
                <w:sz w:val="24"/>
              </w:rPr>
            </w:pPr>
            <w:r>
              <w:rPr>
                <w:rFonts w:eastAsia="仿宋_GB2312"/>
                <w:color w:val="000000"/>
                <w:kern w:val="0"/>
                <w:sz w:val="24"/>
              </w:rPr>
              <w:t>完成值</w:t>
            </w:r>
          </w:p>
        </w:tc>
        <w:tc>
          <w:tcPr>
            <w:tcW w:w="709" w:type="dxa"/>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rPr>
            </w:pPr>
            <w:r>
              <w:rPr>
                <w:rFonts w:eastAsia="仿宋_GB2312"/>
                <w:color w:val="000000"/>
                <w:kern w:val="0"/>
                <w:sz w:val="24"/>
              </w:rPr>
              <w:t>分值</w:t>
            </w:r>
          </w:p>
        </w:tc>
        <w:tc>
          <w:tcPr>
            <w:tcW w:w="643" w:type="dxa"/>
            <w:tcBorders>
              <w:left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 w:val="24"/>
              </w:rPr>
            </w:pPr>
            <w:r>
              <w:rPr>
                <w:rFonts w:eastAsia="仿宋_GB2312"/>
                <w:color w:val="000000"/>
                <w:kern w:val="0"/>
                <w:sz w:val="24"/>
              </w:rPr>
              <w:t>得分</w:t>
            </w:r>
          </w:p>
        </w:tc>
        <w:tc>
          <w:tcPr>
            <w:tcW w:w="1533" w:type="dxa"/>
            <w:gridSpan w:val="2"/>
            <w:tcBorders>
              <w:left w:val="single" w:color="auto" w:sz="4" w:space="0"/>
              <w:right w:val="single" w:color="auto" w:sz="12" w:space="0"/>
            </w:tcBorders>
            <w:shd w:val="clear" w:color="auto" w:fill="auto"/>
          </w:tcPr>
          <w:p>
            <w:pPr>
              <w:widowControl/>
              <w:spacing w:line="240" w:lineRule="exact"/>
              <w:jc w:val="center"/>
              <w:rPr>
                <w:rFonts w:eastAsia="仿宋_GB2312"/>
                <w:color w:val="000000"/>
                <w:kern w:val="0"/>
                <w:sz w:val="24"/>
              </w:rPr>
            </w:pPr>
            <w:r>
              <w:rPr>
                <w:rFonts w:eastAsia="仿宋_GB2312"/>
                <w:color w:val="000000"/>
                <w:kern w:val="0"/>
                <w:sz w:val="24"/>
              </w:rPr>
              <w:t>偏差原因及</w:t>
            </w:r>
          </w:p>
          <w:p>
            <w:pPr>
              <w:widowControl/>
              <w:spacing w:line="240" w:lineRule="exact"/>
              <w:jc w:val="center"/>
              <w:rPr>
                <w:rFonts w:eastAsia="仿宋_GB2312"/>
                <w:color w:val="000000"/>
                <w:kern w:val="0"/>
                <w:sz w:val="24"/>
              </w:rPr>
            </w:pPr>
            <w:r>
              <w:rPr>
                <w:rFonts w:eastAsia="仿宋_GB2312"/>
                <w:color w:val="000000"/>
                <w:kern w:val="0"/>
                <w:sz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产出指标</w:t>
            </w:r>
          </w:p>
          <w:p>
            <w:pPr>
              <w:widowControl/>
              <w:jc w:val="center"/>
              <w:rPr>
                <w:rFonts w:eastAsia="仿宋_GB2312"/>
                <w:color w:val="000000"/>
                <w:kern w:val="0"/>
                <w:sz w:val="24"/>
              </w:rPr>
            </w:pPr>
            <w:r>
              <w:rPr>
                <w:rFonts w:eastAsia="仿宋_GB2312"/>
                <w:color w:val="000000"/>
                <w:kern w:val="0"/>
                <w:sz w:val="24"/>
              </w:rPr>
              <w:t>(50分)</w:t>
            </w:r>
          </w:p>
        </w:tc>
        <w:tc>
          <w:tcPr>
            <w:tcW w:w="1134" w:type="dxa"/>
            <w:gridSpan w:val="2"/>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数量</w:t>
            </w:r>
          </w:p>
          <w:p>
            <w:pPr>
              <w:widowControl/>
              <w:jc w:val="center"/>
              <w:rPr>
                <w:rFonts w:eastAsia="仿宋_GB2312"/>
                <w:color w:val="000000"/>
                <w:kern w:val="0"/>
                <w:sz w:val="24"/>
              </w:rPr>
            </w:pPr>
            <w:r>
              <w:rPr>
                <w:rFonts w:eastAsia="仿宋_GB2312"/>
                <w:color w:val="000000"/>
                <w:kern w:val="0"/>
                <w:sz w:val="24"/>
              </w:rPr>
              <w:t>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ascii="方正仿宋_GBK" w:hAnsi="方正仿宋_GBK" w:eastAsia="方正仿宋_GBK" w:cs="方正仿宋_GBK"/>
                <w:szCs w:val="21"/>
              </w:rPr>
              <w:t>林产品质量安全监测方面，全年完成监测任务</w:t>
            </w:r>
          </w:p>
        </w:tc>
        <w:tc>
          <w:tcPr>
            <w:tcW w:w="1330"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ascii="方正仿宋_GBK" w:hAnsi="方正仿宋_GBK" w:eastAsia="方正仿宋_GBK" w:cs="方正仿宋_GBK"/>
                <w:szCs w:val="21"/>
              </w:rPr>
              <w:t>1410批次</w:t>
            </w:r>
          </w:p>
        </w:tc>
        <w:tc>
          <w:tcPr>
            <w:tcW w:w="1302"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1410批次</w:t>
            </w:r>
          </w:p>
        </w:tc>
        <w:tc>
          <w:tcPr>
            <w:tcW w:w="709"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643"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533" w:type="dxa"/>
            <w:gridSpan w:val="2"/>
            <w:tcBorders>
              <w:left w:val="single" w:color="auto" w:sz="4" w:space="0"/>
              <w:right w:val="single" w:color="auto" w:sz="12"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134"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904" w:type="dxa"/>
            <w:gridSpan w:val="2"/>
            <w:tcBorders>
              <w:left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szCs w:val="21"/>
              </w:rPr>
            </w:pPr>
            <w:r>
              <w:rPr>
                <w:rFonts w:ascii="方正仿宋_GBK" w:hAnsi="方正仿宋_GBK" w:eastAsia="方正仿宋_GBK" w:cs="方正仿宋_GBK"/>
                <w:szCs w:val="21"/>
              </w:rPr>
              <w:t>油茶苗木质量检查</w:t>
            </w:r>
          </w:p>
        </w:tc>
        <w:tc>
          <w:tcPr>
            <w:tcW w:w="1330"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全省14个市州</w:t>
            </w:r>
          </w:p>
        </w:tc>
        <w:tc>
          <w:tcPr>
            <w:tcW w:w="1302"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全省14个市州</w:t>
            </w:r>
          </w:p>
        </w:tc>
        <w:tc>
          <w:tcPr>
            <w:tcW w:w="709"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643"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533" w:type="dxa"/>
            <w:gridSpan w:val="2"/>
            <w:tcBorders>
              <w:left w:val="single" w:color="auto" w:sz="4" w:space="0"/>
              <w:right w:val="single" w:color="auto" w:sz="12"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134"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904" w:type="dxa"/>
            <w:gridSpan w:val="2"/>
            <w:tcBorders>
              <w:left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szCs w:val="21"/>
              </w:rPr>
            </w:pPr>
            <w:r>
              <w:rPr>
                <w:rFonts w:ascii="方正仿宋_GBK" w:hAnsi="方正仿宋_GBK" w:eastAsia="方正仿宋_GBK" w:cs="方正仿宋_GBK"/>
                <w:szCs w:val="21"/>
              </w:rPr>
              <w:t>油茶苗木质量检查</w:t>
            </w:r>
          </w:p>
        </w:tc>
        <w:tc>
          <w:tcPr>
            <w:tcW w:w="1330"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全省14个市州</w:t>
            </w:r>
          </w:p>
        </w:tc>
        <w:tc>
          <w:tcPr>
            <w:tcW w:w="1302"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全省14个市州</w:t>
            </w:r>
          </w:p>
        </w:tc>
        <w:tc>
          <w:tcPr>
            <w:tcW w:w="709"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643"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533" w:type="dxa"/>
            <w:gridSpan w:val="2"/>
            <w:tcBorders>
              <w:left w:val="single" w:color="auto" w:sz="4" w:space="0"/>
              <w:right w:val="single" w:color="auto" w:sz="12"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134"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904" w:type="dxa"/>
            <w:gridSpan w:val="2"/>
            <w:tcBorders>
              <w:left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szCs w:val="21"/>
              </w:rPr>
            </w:pPr>
            <w:r>
              <w:rPr>
                <w:rFonts w:ascii="方正仿宋_GBK" w:hAnsi="方正仿宋_GBK" w:eastAsia="方正仿宋_GBK" w:cs="方正仿宋_GBK"/>
                <w:szCs w:val="21"/>
              </w:rPr>
              <w:t>购置仪器设备</w:t>
            </w:r>
          </w:p>
        </w:tc>
        <w:tc>
          <w:tcPr>
            <w:tcW w:w="1330"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2台</w:t>
            </w:r>
          </w:p>
        </w:tc>
        <w:tc>
          <w:tcPr>
            <w:tcW w:w="1302"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2台</w:t>
            </w: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5</w:t>
            </w: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5</w:t>
            </w:r>
          </w:p>
        </w:tc>
        <w:tc>
          <w:tcPr>
            <w:tcW w:w="1533" w:type="dxa"/>
            <w:gridSpan w:val="2"/>
            <w:tcBorders>
              <w:left w:val="single" w:color="auto" w:sz="4" w:space="0"/>
              <w:right w:val="single" w:color="auto" w:sz="12" w:space="0"/>
            </w:tcBorders>
            <w:shd w:val="clear" w:color="auto" w:fill="auto"/>
            <w:vAlign w:val="bottom"/>
          </w:tcPr>
          <w:p>
            <w:pPr>
              <w:widowControl/>
              <w:jc w:val="right"/>
              <w:rPr>
                <w:rFonts w:eastAsia="仿宋_GB2312"/>
                <w:color w:val="000000"/>
                <w:kern w:val="0"/>
                <w:sz w:val="24"/>
              </w:rPr>
            </w:pPr>
            <w:r>
              <w:rPr>
                <w:rFonts w:hint="eastAsia" w:eastAsia="仿宋_GB2312"/>
                <w:color w:val="000000"/>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134"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904" w:type="dxa"/>
            <w:gridSpan w:val="2"/>
            <w:tcBorders>
              <w:left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木材标本（种）</w:t>
            </w:r>
          </w:p>
        </w:tc>
        <w:tc>
          <w:tcPr>
            <w:tcW w:w="1330"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227</w:t>
            </w:r>
          </w:p>
        </w:tc>
        <w:tc>
          <w:tcPr>
            <w:tcW w:w="1302"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227</w:t>
            </w: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5</w:t>
            </w: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5</w:t>
            </w:r>
          </w:p>
        </w:tc>
        <w:tc>
          <w:tcPr>
            <w:tcW w:w="1533" w:type="dxa"/>
            <w:gridSpan w:val="2"/>
            <w:tcBorders>
              <w:left w:val="single" w:color="auto" w:sz="4" w:space="0"/>
              <w:right w:val="single" w:color="auto" w:sz="12" w:space="0"/>
            </w:tcBorders>
            <w:shd w:val="clear" w:color="auto" w:fill="auto"/>
            <w:vAlign w:val="bottom"/>
          </w:tcPr>
          <w:p>
            <w:pPr>
              <w:widowControl/>
              <w:jc w:val="right"/>
              <w:rPr>
                <w:rFonts w:eastAsia="仿宋_GB2312"/>
                <w:color w:val="000000"/>
                <w:kern w:val="0"/>
                <w:sz w:val="24"/>
              </w:rPr>
            </w:pPr>
            <w:r>
              <w:rPr>
                <w:rFonts w:hint="eastAsia" w:eastAsia="仿宋_GB2312"/>
                <w:color w:val="000000"/>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rPr>
            </w:pPr>
          </w:p>
        </w:tc>
        <w:tc>
          <w:tcPr>
            <w:tcW w:w="1134" w:type="dxa"/>
            <w:gridSpan w:val="2"/>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904" w:type="dxa"/>
            <w:gridSpan w:val="2"/>
            <w:tcBorders>
              <w:left w:val="single" w:color="auto" w:sz="4" w:space="0"/>
              <w:right w:val="single" w:color="auto" w:sz="4" w:space="0"/>
            </w:tcBorders>
            <w:shd w:val="clear" w:color="auto" w:fill="auto"/>
            <w:vAlign w:val="center"/>
          </w:tcPr>
          <w:p>
            <w:pPr>
              <w:widowControl/>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块状标本（块）</w:t>
            </w:r>
          </w:p>
        </w:tc>
        <w:tc>
          <w:tcPr>
            <w:tcW w:w="1330"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375</w:t>
            </w:r>
          </w:p>
        </w:tc>
        <w:tc>
          <w:tcPr>
            <w:tcW w:w="1302" w:type="dxa"/>
            <w:tcBorders>
              <w:left w:val="single" w:color="auto" w:sz="4" w:space="0"/>
              <w:right w:val="single" w:color="auto" w:sz="4" w:space="0"/>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375</w:t>
            </w:r>
          </w:p>
        </w:tc>
        <w:tc>
          <w:tcPr>
            <w:tcW w:w="709" w:type="dxa"/>
            <w:tcBorders>
              <w:left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643" w:type="dxa"/>
            <w:tcBorders>
              <w:left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533" w:type="dxa"/>
            <w:gridSpan w:val="2"/>
            <w:tcBorders>
              <w:left w:val="single" w:color="auto" w:sz="4" w:space="0"/>
              <w:right w:val="single" w:color="auto" w:sz="12" w:space="0"/>
            </w:tcBorders>
            <w:shd w:val="clear" w:color="auto" w:fill="auto"/>
            <w:vAlign w:val="bottom"/>
          </w:tcPr>
          <w:p>
            <w:pPr>
              <w:widowControl/>
              <w:jc w:val="right"/>
              <w:rPr>
                <w:rFonts w:eastAsia="仿宋_GB2312"/>
                <w:color w:val="000000"/>
                <w:kern w:val="0"/>
                <w:sz w:val="24"/>
              </w:rPr>
            </w:pPr>
            <w:r>
              <w:rPr>
                <w:rFonts w:eastAsia="仿宋_GB2312"/>
                <w:color w:val="000000"/>
                <w:kern w:val="0"/>
                <w:sz w:val="24"/>
              </w:rPr>
              <w:t>　</w:t>
            </w:r>
            <w:r>
              <w:rPr>
                <w:rFonts w:hint="eastAsia" w:eastAsia="仿宋_GB2312"/>
                <w:color w:val="000000"/>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质量</w:t>
            </w:r>
          </w:p>
          <w:p>
            <w:pPr>
              <w:widowControl/>
              <w:jc w:val="center"/>
              <w:rPr>
                <w:rFonts w:eastAsia="仿宋_GB2312"/>
                <w:color w:val="000000"/>
                <w:kern w:val="0"/>
                <w:sz w:val="24"/>
              </w:rPr>
            </w:pPr>
            <w:r>
              <w:rPr>
                <w:rFonts w:eastAsia="仿宋_GB2312"/>
                <w:color w:val="000000"/>
                <w:kern w:val="0"/>
                <w:sz w:val="24"/>
              </w:rPr>
              <w:t>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p>
        </w:tc>
        <w:tc>
          <w:tcPr>
            <w:tcW w:w="1330"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302"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p>
        </w:tc>
        <w:tc>
          <w:tcPr>
            <w:tcW w:w="1533" w:type="dxa"/>
            <w:gridSpan w:val="2"/>
            <w:tcBorders>
              <w:left w:val="single" w:color="auto" w:sz="4" w:space="0"/>
              <w:right w:val="single" w:color="auto" w:sz="12" w:space="0"/>
            </w:tcBorders>
            <w:shd w:val="clear" w:color="auto" w:fill="auto"/>
            <w:vAlign w:val="bottom"/>
          </w:tcPr>
          <w:p>
            <w:pPr>
              <w:widowControl/>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时效</w:t>
            </w:r>
          </w:p>
          <w:p>
            <w:pPr>
              <w:widowControl/>
              <w:jc w:val="center"/>
              <w:rPr>
                <w:rFonts w:eastAsia="仿宋_GB2312"/>
                <w:color w:val="000000"/>
                <w:kern w:val="0"/>
                <w:sz w:val="24"/>
              </w:rPr>
            </w:pPr>
            <w:r>
              <w:rPr>
                <w:rFonts w:eastAsia="仿宋_GB2312"/>
                <w:color w:val="000000"/>
                <w:kern w:val="0"/>
                <w:sz w:val="24"/>
              </w:rPr>
              <w:t>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预算执行率</w:t>
            </w:r>
          </w:p>
        </w:tc>
        <w:tc>
          <w:tcPr>
            <w:tcW w:w="1330"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100%</w:t>
            </w:r>
          </w:p>
        </w:tc>
        <w:tc>
          <w:tcPr>
            <w:tcW w:w="1302"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77.36%</w:t>
            </w: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7</w:t>
            </w:r>
          </w:p>
        </w:tc>
        <w:tc>
          <w:tcPr>
            <w:tcW w:w="1533" w:type="dxa"/>
            <w:gridSpan w:val="2"/>
            <w:tcBorders>
              <w:left w:val="single" w:color="auto" w:sz="4" w:space="0"/>
              <w:right w:val="single" w:color="auto" w:sz="12" w:space="0"/>
            </w:tcBorders>
            <w:shd w:val="clear" w:color="auto" w:fill="auto"/>
            <w:vAlign w:val="bottom"/>
          </w:tcPr>
          <w:p>
            <w:pPr>
              <w:widowControl/>
              <w:rPr>
                <w:rFonts w:eastAsia="仿宋_GB2312"/>
                <w:color w:val="000000"/>
                <w:kern w:val="0"/>
                <w:sz w:val="24"/>
              </w:rPr>
            </w:pPr>
            <w:r>
              <w:rPr>
                <w:rFonts w:hint="eastAsia" w:asciiTheme="minorEastAsia" w:hAnsiTheme="minorEastAsia"/>
                <w:color w:val="000000"/>
                <w:kern w:val="0"/>
                <w:szCs w:val="21"/>
              </w:rPr>
              <w:t>部分项目</w:t>
            </w:r>
            <w:r>
              <w:rPr>
                <w:rFonts w:hint="eastAsia" w:eastAsia="FangSong_GB2312"/>
                <w:color w:val="000000"/>
                <w:kern w:val="0"/>
                <w:szCs w:val="21"/>
              </w:rPr>
              <w:t>资金下达晚/加快预算执行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成本</w:t>
            </w:r>
          </w:p>
          <w:p>
            <w:pPr>
              <w:widowControl/>
              <w:jc w:val="center"/>
              <w:rPr>
                <w:rFonts w:eastAsia="仿宋_GB2312"/>
                <w:color w:val="000000"/>
                <w:kern w:val="0"/>
                <w:sz w:val="24"/>
              </w:rPr>
            </w:pPr>
            <w:r>
              <w:rPr>
                <w:rFonts w:eastAsia="仿宋_GB2312"/>
                <w:color w:val="000000"/>
                <w:kern w:val="0"/>
                <w:sz w:val="24"/>
              </w:rPr>
              <w:t>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年度预算数</w:t>
            </w:r>
          </w:p>
        </w:tc>
        <w:tc>
          <w:tcPr>
            <w:tcW w:w="1330"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sz w:val="24"/>
              </w:rPr>
              <w:t>879.93</w:t>
            </w:r>
          </w:p>
        </w:tc>
        <w:tc>
          <w:tcPr>
            <w:tcW w:w="1302"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sz w:val="24"/>
              </w:rPr>
              <w:t>680.76</w:t>
            </w: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7</w:t>
            </w:r>
          </w:p>
        </w:tc>
        <w:tc>
          <w:tcPr>
            <w:tcW w:w="1533" w:type="dxa"/>
            <w:gridSpan w:val="2"/>
            <w:tcBorders>
              <w:left w:val="single" w:color="auto" w:sz="4" w:space="0"/>
              <w:right w:val="single" w:color="auto" w:sz="12" w:space="0"/>
            </w:tcBorders>
            <w:shd w:val="clear" w:color="auto" w:fill="auto"/>
            <w:vAlign w:val="bottom"/>
          </w:tcPr>
          <w:p>
            <w:pPr>
              <w:widowControl/>
              <w:rPr>
                <w:rFonts w:eastAsia="仿宋_GB2312"/>
                <w:color w:val="000000"/>
                <w:kern w:val="0"/>
                <w:sz w:val="24"/>
              </w:rPr>
            </w:pPr>
            <w:r>
              <w:rPr>
                <w:rFonts w:hint="eastAsia" w:asciiTheme="minorEastAsia" w:hAnsiTheme="minorEastAsia"/>
                <w:color w:val="000000"/>
                <w:kern w:val="0"/>
                <w:szCs w:val="21"/>
              </w:rPr>
              <w:t>部分项目</w:t>
            </w:r>
            <w:r>
              <w:rPr>
                <w:rFonts w:hint="eastAsia" w:eastAsia="FangSong_GB2312"/>
                <w:color w:val="000000"/>
                <w:kern w:val="0"/>
                <w:szCs w:val="21"/>
              </w:rPr>
              <w:t>资金下达晚/加快预算执行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restart"/>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效益指标</w:t>
            </w:r>
            <w:r>
              <w:rPr>
                <w:rFonts w:eastAsia="仿宋_GB2312"/>
                <w:color w:val="000000"/>
                <w:kern w:val="0"/>
                <w:sz w:val="18"/>
                <w:szCs w:val="18"/>
              </w:rPr>
              <w:t>（</w:t>
            </w:r>
            <w:r>
              <w:rPr>
                <w:rFonts w:hint="eastAsia" w:eastAsia="仿宋_GB2312"/>
                <w:color w:val="000000"/>
                <w:kern w:val="0"/>
                <w:sz w:val="18"/>
                <w:szCs w:val="18"/>
              </w:rPr>
              <w:t>4</w:t>
            </w:r>
            <w:r>
              <w:rPr>
                <w:rFonts w:eastAsia="仿宋_GB2312"/>
                <w:color w:val="000000"/>
                <w:kern w:val="0"/>
                <w:sz w:val="18"/>
                <w:szCs w:val="18"/>
              </w:rPr>
              <w:t>0分）</w:t>
            </w:r>
            <w:r>
              <w:rPr>
                <w:rFonts w:eastAsia="仿宋_GB2312"/>
                <w:color w:val="000000"/>
                <w:kern w:val="0"/>
                <w:sz w:val="24"/>
              </w:rPr>
              <w:t>　</w:t>
            </w:r>
          </w:p>
        </w:tc>
        <w:tc>
          <w:tcPr>
            <w:tcW w:w="1134" w:type="dxa"/>
            <w:gridSpan w:val="2"/>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经济效</w:t>
            </w:r>
          </w:p>
          <w:p>
            <w:pPr>
              <w:widowControl/>
              <w:jc w:val="center"/>
              <w:rPr>
                <w:rFonts w:eastAsia="仿宋_GB2312"/>
                <w:color w:val="000000"/>
                <w:kern w:val="0"/>
                <w:sz w:val="24"/>
              </w:rPr>
            </w:pPr>
            <w:r>
              <w:rPr>
                <w:rFonts w:eastAsia="仿宋_GB2312"/>
                <w:color w:val="000000"/>
                <w:kern w:val="0"/>
                <w:sz w:val="24"/>
              </w:rPr>
              <w:t>益指标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良好</w:t>
            </w:r>
          </w:p>
        </w:tc>
        <w:tc>
          <w:tcPr>
            <w:tcW w:w="1330"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100</w:t>
            </w:r>
          </w:p>
        </w:tc>
        <w:tc>
          <w:tcPr>
            <w:tcW w:w="1302"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5</w:t>
            </w: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c>
          <w:tcPr>
            <w:tcW w:w="1533" w:type="dxa"/>
            <w:gridSpan w:val="2"/>
            <w:tcBorders>
              <w:left w:val="single" w:color="auto" w:sz="4" w:space="0"/>
              <w:right w:val="single" w:color="auto" w:sz="12" w:space="0"/>
            </w:tcBorders>
            <w:shd w:val="clear" w:color="auto" w:fill="auto"/>
            <w:vAlign w:val="bottom"/>
          </w:tcPr>
          <w:p>
            <w:pPr>
              <w:widowControl/>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社会效</w:t>
            </w:r>
          </w:p>
          <w:p>
            <w:pPr>
              <w:widowControl/>
              <w:jc w:val="center"/>
              <w:rPr>
                <w:rFonts w:eastAsia="仿宋_GB2312"/>
                <w:color w:val="000000"/>
                <w:kern w:val="0"/>
                <w:sz w:val="24"/>
              </w:rPr>
            </w:pPr>
            <w:r>
              <w:rPr>
                <w:rFonts w:eastAsia="仿宋_GB2312"/>
                <w:color w:val="000000"/>
                <w:kern w:val="0"/>
                <w:sz w:val="24"/>
              </w:rPr>
              <w:t>益指标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良好</w:t>
            </w:r>
          </w:p>
        </w:tc>
        <w:tc>
          <w:tcPr>
            <w:tcW w:w="133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　100</w:t>
            </w:r>
          </w:p>
        </w:tc>
        <w:tc>
          <w:tcPr>
            <w:tcW w:w="1302"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w:t>
            </w:r>
          </w:p>
        </w:tc>
        <w:tc>
          <w:tcPr>
            <w:tcW w:w="1533" w:type="dxa"/>
            <w:gridSpan w:val="2"/>
            <w:tcBorders>
              <w:left w:val="single" w:color="auto" w:sz="4" w:space="0"/>
              <w:right w:val="single" w:color="auto" w:sz="12" w:space="0"/>
            </w:tcBorders>
            <w:shd w:val="clear" w:color="auto" w:fill="auto"/>
            <w:vAlign w:val="bottom"/>
          </w:tcPr>
          <w:p>
            <w:pPr>
              <w:widowControl/>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生态效</w:t>
            </w:r>
          </w:p>
          <w:p>
            <w:pPr>
              <w:widowControl/>
              <w:jc w:val="center"/>
              <w:rPr>
                <w:rFonts w:eastAsia="仿宋_GB2312"/>
                <w:color w:val="000000"/>
                <w:kern w:val="0"/>
                <w:sz w:val="24"/>
              </w:rPr>
            </w:pPr>
            <w:r>
              <w:rPr>
                <w:rFonts w:eastAsia="仿宋_GB2312"/>
                <w:color w:val="000000"/>
                <w:kern w:val="0"/>
                <w:sz w:val="24"/>
              </w:rPr>
              <w:t>益指标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良好</w:t>
            </w:r>
          </w:p>
        </w:tc>
        <w:tc>
          <w:tcPr>
            <w:tcW w:w="133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　100</w:t>
            </w:r>
          </w:p>
        </w:tc>
        <w:tc>
          <w:tcPr>
            <w:tcW w:w="1302"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w:t>
            </w:r>
          </w:p>
        </w:tc>
        <w:tc>
          <w:tcPr>
            <w:tcW w:w="1533" w:type="dxa"/>
            <w:gridSpan w:val="2"/>
            <w:tcBorders>
              <w:left w:val="single" w:color="auto" w:sz="4" w:space="0"/>
              <w:right w:val="single" w:color="auto" w:sz="12" w:space="0"/>
            </w:tcBorders>
            <w:shd w:val="clear" w:color="auto" w:fill="auto"/>
            <w:vAlign w:val="bottom"/>
          </w:tcPr>
          <w:p>
            <w:pPr>
              <w:widowControl/>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shd w:val="clear" w:color="auto" w:fill="auto"/>
            <w:vAlign w:val="center"/>
          </w:tcPr>
          <w:p>
            <w:pPr>
              <w:widowControl/>
              <w:jc w:val="center"/>
              <w:rPr>
                <w:rFonts w:eastAsia="仿宋_GB2312"/>
                <w:color w:val="000000"/>
                <w:kern w:val="0"/>
                <w:sz w:val="24"/>
              </w:rPr>
            </w:pPr>
          </w:p>
        </w:tc>
        <w:tc>
          <w:tcPr>
            <w:tcW w:w="639"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p>
        </w:tc>
        <w:tc>
          <w:tcPr>
            <w:tcW w:w="1134" w:type="dxa"/>
            <w:gridSpan w:val="2"/>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Cs w:val="21"/>
              </w:rPr>
              <w:t>可持续影响指标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良好</w:t>
            </w:r>
          </w:p>
        </w:tc>
        <w:tc>
          <w:tcPr>
            <w:tcW w:w="133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　100</w:t>
            </w:r>
          </w:p>
        </w:tc>
        <w:tc>
          <w:tcPr>
            <w:tcW w:w="1302"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5</w:t>
            </w: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5</w:t>
            </w:r>
          </w:p>
        </w:tc>
        <w:tc>
          <w:tcPr>
            <w:tcW w:w="1533" w:type="dxa"/>
            <w:gridSpan w:val="2"/>
            <w:tcBorders>
              <w:left w:val="single" w:color="auto" w:sz="4" w:space="0"/>
              <w:right w:val="single" w:color="auto" w:sz="12" w:space="0"/>
            </w:tcBorders>
            <w:shd w:val="clear" w:color="auto" w:fill="auto"/>
            <w:vAlign w:val="bottom"/>
          </w:tcPr>
          <w:p>
            <w:pPr>
              <w:widowControl/>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31" w:type="dxa"/>
            <w:vMerge w:val="continue"/>
            <w:tcBorders>
              <w:left w:val="single" w:color="auto" w:sz="12" w:space="0"/>
              <w:right w:val="single" w:color="auto" w:sz="4" w:space="0"/>
            </w:tcBorders>
            <w:shd w:val="clear" w:color="auto" w:fill="auto"/>
            <w:vAlign w:val="center"/>
          </w:tcPr>
          <w:p>
            <w:pPr>
              <w:jc w:val="left"/>
              <w:rPr>
                <w:rFonts w:eastAsia="仿宋_GB2312"/>
                <w:color w:val="000000"/>
                <w:kern w:val="0"/>
                <w:sz w:val="24"/>
              </w:rPr>
            </w:pPr>
          </w:p>
        </w:tc>
        <w:tc>
          <w:tcPr>
            <w:tcW w:w="63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 w:val="24"/>
              </w:rPr>
            </w:pPr>
            <w:r>
              <w:rPr>
                <w:rFonts w:eastAsia="仿宋_GB2312"/>
                <w:color w:val="000000"/>
                <w:kern w:val="0"/>
                <w:szCs w:val="21"/>
              </w:rPr>
              <w:t>（10分）</w:t>
            </w:r>
          </w:p>
        </w:tc>
        <w:tc>
          <w:tcPr>
            <w:tcW w:w="1134" w:type="dxa"/>
            <w:gridSpan w:val="2"/>
            <w:tcBorders>
              <w:left w:val="single" w:color="auto" w:sz="4" w:space="0"/>
              <w:right w:val="single" w:color="auto" w:sz="4" w:space="0"/>
            </w:tcBorders>
            <w:shd w:val="clear" w:color="auto" w:fill="auto"/>
            <w:vAlign w:val="center"/>
          </w:tcPr>
          <w:p>
            <w:pPr>
              <w:widowControl/>
              <w:rPr>
                <w:rFonts w:eastAsia="仿宋_GB2312"/>
                <w:color w:val="000000"/>
                <w:kern w:val="0"/>
                <w:sz w:val="24"/>
              </w:rPr>
            </w:pPr>
            <w:r>
              <w:rPr>
                <w:rFonts w:eastAsia="仿宋_GB2312"/>
                <w:color w:val="000000"/>
                <w:kern w:val="0"/>
                <w:sz w:val="24"/>
              </w:rPr>
              <w:t>服务对象满意度指标</w:t>
            </w:r>
          </w:p>
        </w:tc>
        <w:tc>
          <w:tcPr>
            <w:tcW w:w="1904" w:type="dxa"/>
            <w:gridSpan w:val="2"/>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满意</w:t>
            </w:r>
          </w:p>
        </w:tc>
        <w:tc>
          <w:tcPr>
            <w:tcW w:w="1330" w:type="dxa"/>
            <w:tcBorders>
              <w:left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hint="eastAsia" w:eastAsia="仿宋_GB2312"/>
                <w:color w:val="000000"/>
                <w:kern w:val="0"/>
                <w:sz w:val="24"/>
              </w:rPr>
              <w:t>　100</w:t>
            </w:r>
          </w:p>
        </w:tc>
        <w:tc>
          <w:tcPr>
            <w:tcW w:w="1302"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100</w:t>
            </w:r>
          </w:p>
        </w:tc>
        <w:tc>
          <w:tcPr>
            <w:tcW w:w="709"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w:t>
            </w:r>
          </w:p>
        </w:tc>
        <w:tc>
          <w:tcPr>
            <w:tcW w:w="643" w:type="dxa"/>
            <w:tcBorders>
              <w:left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10</w:t>
            </w:r>
          </w:p>
        </w:tc>
        <w:tc>
          <w:tcPr>
            <w:tcW w:w="1533" w:type="dxa"/>
            <w:gridSpan w:val="2"/>
            <w:tcBorders>
              <w:left w:val="single" w:color="auto" w:sz="4" w:space="0"/>
              <w:right w:val="single" w:color="auto" w:sz="12" w:space="0"/>
            </w:tcBorders>
            <w:shd w:val="clear" w:color="auto" w:fill="auto"/>
            <w:vAlign w:val="bottom"/>
          </w:tcPr>
          <w:p>
            <w:pPr>
              <w:widowControl/>
              <w:jc w:val="righ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0" w:type="dxa"/>
            <w:gridSpan w:val="8"/>
            <w:tcBorders>
              <w:left w:val="single" w:color="auto" w:sz="12" w:space="0"/>
              <w:bottom w:val="single" w:color="auto" w:sz="12"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总分</w:t>
            </w:r>
          </w:p>
        </w:tc>
        <w:tc>
          <w:tcPr>
            <w:tcW w:w="709" w:type="dxa"/>
            <w:tcBorders>
              <w:left w:val="single" w:color="auto" w:sz="4" w:space="0"/>
              <w:bottom w:val="single" w:color="auto" w:sz="12"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100</w:t>
            </w:r>
          </w:p>
        </w:tc>
        <w:tc>
          <w:tcPr>
            <w:tcW w:w="643" w:type="dxa"/>
            <w:tcBorders>
              <w:left w:val="single" w:color="auto" w:sz="4" w:space="0"/>
              <w:bottom w:val="single" w:color="auto" w:sz="12"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92</w:t>
            </w:r>
          </w:p>
        </w:tc>
        <w:tc>
          <w:tcPr>
            <w:tcW w:w="1533" w:type="dxa"/>
            <w:gridSpan w:val="2"/>
            <w:tcBorders>
              <w:left w:val="single" w:color="auto" w:sz="4" w:space="0"/>
              <w:bottom w:val="single" w:color="auto" w:sz="12" w:space="0"/>
              <w:right w:val="single" w:color="auto" w:sz="12"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　</w:t>
            </w:r>
          </w:p>
        </w:tc>
      </w:tr>
    </w:tbl>
    <w:p>
      <w:pPr>
        <w:spacing w:line="360" w:lineRule="exact"/>
        <w:rPr>
          <w:rFonts w:ascii="Times New Roman" w:hAnsi="Times New Roman" w:eastAsia="仿宋_GB2312"/>
          <w:kern w:val="0"/>
          <w:sz w:val="24"/>
        </w:rPr>
        <w:sectPr>
          <w:pgSz w:w="11906" w:h="16838"/>
          <w:pgMar w:top="1134" w:right="1701" w:bottom="1134" w:left="1701" w:header="851" w:footer="992" w:gutter="0"/>
          <w:cols w:space="720" w:num="1"/>
          <w:docGrid w:type="lines" w:linePitch="312" w:charSpace="0"/>
        </w:sectPr>
      </w:pPr>
      <w:r>
        <w:rPr>
          <w:rFonts w:ascii="Times New Roman" w:hAnsi="Times New Roman" w:eastAsia="仿宋_GB2312"/>
          <w:kern w:val="0"/>
          <w:sz w:val="24"/>
        </w:rPr>
        <w:t>填表人：</w:t>
      </w:r>
      <w:r>
        <w:rPr>
          <w:rFonts w:hint="eastAsia" w:ascii="Times New Roman" w:hAnsi="Times New Roman" w:eastAsia="仿宋_GB2312"/>
          <w:kern w:val="0"/>
          <w:sz w:val="24"/>
        </w:rPr>
        <w:t>汤萍</w:t>
      </w:r>
      <w:r>
        <w:rPr>
          <w:rFonts w:ascii="Times New Roman" w:hAnsi="Times New Roman" w:eastAsia="仿宋_GB2312"/>
          <w:kern w:val="0"/>
          <w:sz w:val="24"/>
        </w:rPr>
        <w:t>日期：</w:t>
      </w:r>
      <w:r>
        <w:rPr>
          <w:rFonts w:hint="eastAsia" w:ascii="Times New Roman" w:hAnsi="Times New Roman" w:eastAsia="仿宋_GB2312"/>
          <w:kern w:val="0"/>
          <w:sz w:val="24"/>
        </w:rPr>
        <w:t xml:space="preserve">2021.04.26 </w:t>
      </w:r>
      <w:r>
        <w:rPr>
          <w:rFonts w:ascii="Times New Roman" w:hAnsi="Times New Roman" w:eastAsia="仿宋_GB2312"/>
          <w:kern w:val="0"/>
          <w:sz w:val="24"/>
        </w:rPr>
        <w:t xml:space="preserve"> 联系电话：</w:t>
      </w:r>
      <w:r>
        <w:rPr>
          <w:rFonts w:hint="eastAsia" w:ascii="Times New Roman" w:hAnsi="Times New Roman" w:eastAsia="仿宋_GB2312"/>
          <w:kern w:val="0"/>
          <w:sz w:val="24"/>
        </w:rPr>
        <w:t>0731-85582045</w:t>
      </w:r>
      <w:r>
        <w:rPr>
          <w:rFonts w:ascii="Times New Roman" w:hAnsi="Times New Roman" w:eastAsia="仿宋_GB2312"/>
          <w:kern w:val="0"/>
          <w:sz w:val="24"/>
        </w:rPr>
        <w:t xml:space="preserve"> 单位负责人签字</w:t>
      </w:r>
      <w:r>
        <w:rPr>
          <w:rFonts w:hint="eastAsia" w:ascii="Times New Roman" w:hAnsi="Times New Roman"/>
          <w:kern w:val="0"/>
          <w:sz w:val="24"/>
        </w:rPr>
        <w:t>：</w:t>
      </w:r>
    </w:p>
    <w:p>
      <w:pPr>
        <w:widowControl/>
        <w:jc w:val="left"/>
        <w:rPr>
          <w:rFonts w:eastAsia="黑体"/>
          <w:sz w:val="32"/>
          <w:szCs w:val="32"/>
        </w:rPr>
      </w:pPr>
      <w:r>
        <w:rPr>
          <w:rFonts w:eastAsia="黑体"/>
          <w:sz w:val="32"/>
          <w:szCs w:val="32"/>
        </w:rPr>
        <w:t>附件</w:t>
      </w:r>
      <w:r>
        <w:rPr>
          <w:rFonts w:hint="eastAsia" w:eastAsia="黑体"/>
          <w:sz w:val="32"/>
          <w:szCs w:val="32"/>
        </w:rPr>
        <w:t>3</w:t>
      </w:r>
    </w:p>
    <w:p>
      <w:pPr>
        <w:widowControl/>
        <w:jc w:val="center"/>
        <w:rPr>
          <w:color w:val="000000"/>
          <w:kern w:val="0"/>
          <w:szCs w:val="21"/>
        </w:rPr>
      </w:pPr>
      <w:r>
        <w:rPr>
          <w:rFonts w:hint="eastAsia" w:eastAsia="方正小标宋_GBK"/>
          <w:color w:val="000000"/>
          <w:kern w:val="0"/>
          <w:sz w:val="36"/>
          <w:szCs w:val="36"/>
        </w:rPr>
        <w:t>2020年度</w:t>
      </w:r>
      <w:r>
        <w:rPr>
          <w:rFonts w:eastAsia="方正小标宋_GBK"/>
          <w:color w:val="000000"/>
          <w:kern w:val="0"/>
          <w:sz w:val="36"/>
          <w:szCs w:val="36"/>
        </w:rPr>
        <w:t>项目支出绩效自评表</w:t>
      </w:r>
    </w:p>
    <w:tbl>
      <w:tblPr>
        <w:tblStyle w:val="5"/>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961"/>
        <w:gridCol w:w="1165"/>
        <w:gridCol w:w="1064"/>
        <w:gridCol w:w="1209"/>
        <w:gridCol w:w="1255"/>
        <w:gridCol w:w="707"/>
        <w:gridCol w:w="93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shd w:val="clear" w:color="auto" w:fill="auto"/>
            <w:noWrap/>
            <w:vAlign w:val="center"/>
          </w:tcPr>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项目支</w:t>
            </w:r>
          </w:p>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出名称</w:t>
            </w:r>
          </w:p>
        </w:tc>
        <w:tc>
          <w:tcPr>
            <w:tcW w:w="8715" w:type="dxa"/>
            <w:gridSpan w:val="8"/>
            <w:tcBorders>
              <w:top w:val="single" w:color="auto" w:sz="12" w:space="0"/>
              <w:right w:val="single" w:color="auto" w:sz="12"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kern w:val="0"/>
                <w:sz w:val="24"/>
              </w:rPr>
              <w:t>业务工作经费-林产品质量管理、林产品监测基本建设投资、珍贵木材科普展示</w:t>
            </w: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主管</w:t>
            </w:r>
          </w:p>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部门</w:t>
            </w:r>
          </w:p>
        </w:tc>
        <w:tc>
          <w:tcPr>
            <w:tcW w:w="4399" w:type="dxa"/>
            <w:gridSpan w:val="4"/>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湖南省林业局</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实施单位</w:t>
            </w:r>
          </w:p>
        </w:tc>
        <w:tc>
          <w:tcPr>
            <w:tcW w:w="3061" w:type="dxa"/>
            <w:gridSpan w:val="3"/>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湖南省林产品质量检验检测中心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rPr>
              <w:t>项目资金</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（万元）</w:t>
            </w:r>
          </w:p>
        </w:tc>
        <w:tc>
          <w:tcPr>
            <w:tcW w:w="2126" w:type="dxa"/>
            <w:gridSpan w:val="2"/>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6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年初</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全年</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1255" w:type="dxa"/>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全年</w:t>
            </w:r>
          </w:p>
          <w:p>
            <w:pPr>
              <w:jc w:val="center"/>
              <w:rPr>
                <w:rFonts w:ascii="仿宋" w:hAnsi="仿宋" w:eastAsia="仿宋" w:cs="仿宋"/>
                <w:sz w:val="24"/>
              </w:rPr>
            </w:pPr>
            <w:r>
              <w:rPr>
                <w:rFonts w:hint="eastAsia" w:ascii="仿宋" w:hAnsi="仿宋" w:eastAsia="仿宋" w:cs="仿宋"/>
                <w:sz w:val="24"/>
              </w:rPr>
              <w:t>执行数</w:t>
            </w:r>
          </w:p>
        </w:tc>
        <w:tc>
          <w:tcPr>
            <w:tcW w:w="707" w:type="dxa"/>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分值</w:t>
            </w:r>
          </w:p>
        </w:tc>
        <w:tc>
          <w:tcPr>
            <w:tcW w:w="936" w:type="dxa"/>
            <w:shd w:val="clear" w:color="auto" w:fill="auto"/>
            <w:noWrap/>
            <w:vAlign w:val="center"/>
          </w:tcPr>
          <w:p>
            <w:pPr>
              <w:jc w:val="center"/>
              <w:rPr>
                <w:rFonts w:ascii="仿宋" w:hAnsi="仿宋" w:eastAsia="仿宋" w:cs="仿宋"/>
                <w:sz w:val="24"/>
              </w:rPr>
            </w:pPr>
            <w:r>
              <w:rPr>
                <w:rFonts w:hint="eastAsia" w:ascii="仿宋" w:hAnsi="仿宋" w:eastAsia="仿宋" w:cs="仿宋"/>
                <w:sz w:val="24"/>
              </w:rPr>
              <w:t>执行率</w:t>
            </w:r>
          </w:p>
        </w:tc>
        <w:tc>
          <w:tcPr>
            <w:tcW w:w="1418" w:type="dxa"/>
            <w:tcBorders>
              <w:right w:val="single" w:color="auto" w:sz="12"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rPr>
            </w:pPr>
          </w:p>
        </w:tc>
        <w:tc>
          <w:tcPr>
            <w:tcW w:w="2126" w:type="dxa"/>
            <w:gridSpan w:val="2"/>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年度资金总额　</w:t>
            </w:r>
          </w:p>
        </w:tc>
        <w:tc>
          <w:tcPr>
            <w:tcW w:w="1064"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188</w:t>
            </w:r>
          </w:p>
        </w:tc>
        <w:tc>
          <w:tcPr>
            <w:tcW w:w="1209"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188</w:t>
            </w:r>
          </w:p>
        </w:tc>
        <w:tc>
          <w:tcPr>
            <w:tcW w:w="1255"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183.71</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97.97%</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rPr>
            </w:pPr>
          </w:p>
        </w:tc>
        <w:tc>
          <w:tcPr>
            <w:tcW w:w="2126" w:type="dxa"/>
            <w:gridSpan w:val="2"/>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其中：当年财政拨款　</w:t>
            </w:r>
          </w:p>
        </w:tc>
        <w:tc>
          <w:tcPr>
            <w:tcW w:w="1064"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188</w:t>
            </w:r>
          </w:p>
        </w:tc>
        <w:tc>
          <w:tcPr>
            <w:tcW w:w="1209"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188</w:t>
            </w:r>
          </w:p>
        </w:tc>
        <w:tc>
          <w:tcPr>
            <w:tcW w:w="1255"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183.71</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97.97%</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rPr>
            </w:pPr>
          </w:p>
        </w:tc>
        <w:tc>
          <w:tcPr>
            <w:tcW w:w="2126" w:type="dxa"/>
            <w:gridSpan w:val="2"/>
            <w:shd w:val="clear" w:color="auto" w:fill="auto"/>
            <w:noWrap/>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上年结转资金　</w:t>
            </w:r>
          </w:p>
        </w:tc>
        <w:tc>
          <w:tcPr>
            <w:tcW w:w="1064"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09"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936"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rPr>
            </w:pPr>
          </w:p>
        </w:tc>
        <w:tc>
          <w:tcPr>
            <w:tcW w:w="2126" w:type="dxa"/>
            <w:gridSpan w:val="2"/>
            <w:shd w:val="clear" w:color="auto" w:fill="auto"/>
            <w:noWrap/>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其他资金</w:t>
            </w:r>
          </w:p>
        </w:tc>
        <w:tc>
          <w:tcPr>
            <w:tcW w:w="1064"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09"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936"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年度总体目标</w:t>
            </w:r>
          </w:p>
        </w:tc>
        <w:tc>
          <w:tcPr>
            <w:tcW w:w="4399" w:type="dxa"/>
            <w:gridSpan w:val="4"/>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预期目标</w:t>
            </w:r>
          </w:p>
        </w:tc>
        <w:tc>
          <w:tcPr>
            <w:tcW w:w="4316" w:type="dxa"/>
            <w:gridSpan w:val="4"/>
            <w:tcBorders>
              <w:right w:val="single" w:color="auto" w:sz="12" w:space="0"/>
            </w:tcBorders>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rPr>
            </w:pPr>
          </w:p>
        </w:tc>
        <w:tc>
          <w:tcPr>
            <w:tcW w:w="4399" w:type="dxa"/>
            <w:gridSpan w:val="4"/>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加强林产品监测，积极推进溯源体系建设；加强珍贵木材陈列室建设，展现湖南林业风采；加强治理体系现代化建设；提供优质高效服务，保证人员经费和日常公用经费，确保日常运行。</w:t>
            </w:r>
          </w:p>
        </w:tc>
        <w:tc>
          <w:tcPr>
            <w:tcW w:w="4316" w:type="dxa"/>
            <w:gridSpan w:val="4"/>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加强林产品监测，积极推进溯源体系建设；加强珍贵木材陈列室建设，展现湖南林业风采；加强治理体系现代化建设；提供优质高效服务，保证人员经费和日常公用经费，确保日常运行。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绩</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效</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指</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标</w:t>
            </w:r>
          </w:p>
        </w:tc>
        <w:tc>
          <w:tcPr>
            <w:tcW w:w="961" w:type="dxa"/>
            <w:shd w:val="clear" w:color="auto" w:fill="auto"/>
            <w:noWrap/>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一级指标</w:t>
            </w:r>
          </w:p>
        </w:tc>
        <w:tc>
          <w:tcPr>
            <w:tcW w:w="1165" w:type="dxa"/>
            <w:shd w:val="clear" w:color="auto" w:fill="auto"/>
            <w:noWrap/>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二级指标</w:t>
            </w:r>
          </w:p>
        </w:tc>
        <w:tc>
          <w:tcPr>
            <w:tcW w:w="1064" w:type="dxa"/>
            <w:shd w:val="clear" w:color="auto" w:fill="auto"/>
            <w:noWrap/>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三级指标</w:t>
            </w:r>
          </w:p>
        </w:tc>
        <w:tc>
          <w:tcPr>
            <w:tcW w:w="1209" w:type="dxa"/>
            <w:shd w:val="clear" w:color="auto" w:fill="auto"/>
            <w:noWrap/>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年度</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指标值</w:t>
            </w:r>
          </w:p>
        </w:tc>
        <w:tc>
          <w:tcPr>
            <w:tcW w:w="1255" w:type="dxa"/>
            <w:shd w:val="clear" w:color="auto" w:fill="auto"/>
            <w:noWrap/>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实际</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完成值</w:t>
            </w:r>
          </w:p>
        </w:tc>
        <w:tc>
          <w:tcPr>
            <w:tcW w:w="707" w:type="dxa"/>
            <w:shd w:val="clear" w:color="auto" w:fill="auto"/>
            <w:noWrap/>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分值</w:t>
            </w:r>
          </w:p>
        </w:tc>
        <w:tc>
          <w:tcPr>
            <w:tcW w:w="936" w:type="dxa"/>
            <w:shd w:val="clear" w:color="auto" w:fill="auto"/>
            <w:noWrap/>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得分</w:t>
            </w:r>
          </w:p>
        </w:tc>
        <w:tc>
          <w:tcPr>
            <w:tcW w:w="1418" w:type="dxa"/>
            <w:tcBorders>
              <w:right w:val="single" w:color="auto" w:sz="12" w:space="0"/>
            </w:tcBorders>
            <w:shd w:val="clear" w:color="auto" w:fill="auto"/>
            <w:noWrap/>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偏差原因</w:t>
            </w:r>
          </w:p>
          <w:p>
            <w:pPr>
              <w:widowControl/>
              <w:spacing w:line="240" w:lineRule="exact"/>
              <w:rPr>
                <w:rFonts w:ascii="仿宋" w:hAnsi="仿宋" w:eastAsia="仿宋" w:cs="仿宋"/>
                <w:color w:val="000000"/>
                <w:kern w:val="0"/>
                <w:sz w:val="24"/>
              </w:rPr>
            </w:pPr>
            <w:r>
              <w:rPr>
                <w:rFonts w:hint="eastAsia" w:ascii="仿宋" w:hAnsi="仿宋" w:eastAsia="仿宋" w:cs="仿宋"/>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vMerge w:val="restart"/>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产出指标</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(50分)</w:t>
            </w:r>
          </w:p>
        </w:tc>
        <w:tc>
          <w:tcPr>
            <w:tcW w:w="1165" w:type="dxa"/>
            <w:vMerge w:val="restart"/>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数量</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064" w:type="dxa"/>
            <w:shd w:val="clear" w:color="auto" w:fill="auto"/>
            <w:noWrap/>
            <w:vAlign w:val="center"/>
          </w:tcPr>
          <w:p>
            <w:pPr>
              <w:widowControl/>
              <w:jc w:val="left"/>
              <w:rPr>
                <w:rFonts w:ascii="仿宋" w:hAnsi="仿宋" w:eastAsia="仿宋" w:cs="仿宋"/>
                <w:color w:val="000000"/>
                <w:kern w:val="0"/>
                <w:sz w:val="24"/>
              </w:rPr>
            </w:pPr>
            <w:r>
              <w:rPr>
                <w:rFonts w:ascii="仿宋" w:hAnsi="仿宋" w:eastAsia="仿宋" w:cs="仿宋"/>
                <w:color w:val="000000"/>
                <w:kern w:val="0"/>
                <w:sz w:val="24"/>
              </w:rPr>
              <w:t>林产品质量安全监测方面，全年完成监测任务</w:t>
            </w:r>
          </w:p>
        </w:tc>
        <w:tc>
          <w:tcPr>
            <w:tcW w:w="1209" w:type="dxa"/>
            <w:shd w:val="clear" w:color="auto" w:fill="auto"/>
            <w:noWrap/>
            <w:vAlign w:val="center"/>
          </w:tcPr>
          <w:p>
            <w:pPr>
              <w:widowControl/>
              <w:ind w:right="360"/>
              <w:jc w:val="center"/>
              <w:rPr>
                <w:rFonts w:ascii="仿宋" w:hAnsi="仿宋" w:eastAsia="仿宋" w:cs="仿宋"/>
                <w:color w:val="000000"/>
                <w:kern w:val="0"/>
                <w:sz w:val="24"/>
              </w:rPr>
            </w:pPr>
            <w:r>
              <w:rPr>
                <w:rFonts w:hint="eastAsia" w:ascii="仿宋" w:hAnsi="仿宋" w:eastAsia="仿宋" w:cs="仿宋"/>
                <w:color w:val="000000"/>
                <w:kern w:val="0"/>
                <w:sz w:val="24"/>
              </w:rPr>
              <w:t>1410批次</w:t>
            </w:r>
          </w:p>
        </w:tc>
        <w:tc>
          <w:tcPr>
            <w:tcW w:w="1255" w:type="dxa"/>
            <w:shd w:val="clear" w:color="auto" w:fill="auto"/>
            <w:noWrap/>
            <w:vAlign w:val="center"/>
          </w:tcPr>
          <w:p>
            <w:pPr>
              <w:widowControl/>
              <w:ind w:right="480"/>
              <w:jc w:val="center"/>
              <w:rPr>
                <w:rFonts w:ascii="仿宋" w:hAnsi="仿宋" w:eastAsia="仿宋" w:cs="仿宋"/>
                <w:color w:val="000000"/>
                <w:kern w:val="0"/>
                <w:sz w:val="24"/>
              </w:rPr>
            </w:pPr>
            <w:r>
              <w:rPr>
                <w:rFonts w:hint="eastAsia" w:ascii="仿宋" w:hAnsi="仿宋" w:eastAsia="仿宋" w:cs="仿宋"/>
                <w:color w:val="000000"/>
                <w:kern w:val="0"/>
                <w:sz w:val="24"/>
              </w:rPr>
              <w:t>1410批次</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vMerge w:val="continue"/>
            <w:shd w:val="clear" w:color="auto" w:fill="auto"/>
            <w:noWrap/>
            <w:vAlign w:val="center"/>
          </w:tcPr>
          <w:p>
            <w:pPr>
              <w:widowControl/>
              <w:jc w:val="center"/>
              <w:rPr>
                <w:rFonts w:ascii="仿宋" w:hAnsi="仿宋" w:eastAsia="仿宋" w:cs="仿宋"/>
                <w:color w:val="000000"/>
                <w:kern w:val="0"/>
                <w:sz w:val="24"/>
              </w:rPr>
            </w:pPr>
          </w:p>
        </w:tc>
        <w:tc>
          <w:tcPr>
            <w:tcW w:w="1165" w:type="dxa"/>
            <w:vMerge w:val="continue"/>
            <w:shd w:val="clear" w:color="auto" w:fill="auto"/>
            <w:noWrap/>
            <w:vAlign w:val="center"/>
          </w:tcPr>
          <w:p>
            <w:pPr>
              <w:widowControl/>
              <w:jc w:val="center"/>
              <w:rPr>
                <w:rFonts w:ascii="仿宋" w:hAnsi="仿宋" w:eastAsia="仿宋" w:cs="仿宋"/>
                <w:color w:val="000000"/>
                <w:kern w:val="0"/>
                <w:sz w:val="24"/>
              </w:rPr>
            </w:pPr>
          </w:p>
        </w:tc>
        <w:tc>
          <w:tcPr>
            <w:tcW w:w="1064"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木材标本（种）</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227</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227</w:t>
            </w:r>
          </w:p>
        </w:tc>
        <w:tc>
          <w:tcPr>
            <w:tcW w:w="707" w:type="dxa"/>
            <w:shd w:val="clear" w:color="auto" w:fill="auto"/>
            <w:noWrap/>
            <w:vAlign w:val="center"/>
          </w:tcPr>
          <w:p>
            <w:pPr>
              <w:widowControl/>
              <w:ind w:firstLine="240" w:firstLineChars="100"/>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vMerge w:val="continue"/>
            <w:shd w:val="clear" w:color="auto" w:fill="auto"/>
            <w:noWrap/>
            <w:vAlign w:val="center"/>
          </w:tcPr>
          <w:p>
            <w:pPr>
              <w:jc w:val="left"/>
              <w:rPr>
                <w:rFonts w:ascii="仿宋" w:hAnsi="仿宋" w:eastAsia="仿宋" w:cs="仿宋"/>
                <w:color w:val="000000"/>
                <w:kern w:val="0"/>
                <w:sz w:val="24"/>
              </w:rPr>
            </w:pPr>
          </w:p>
        </w:tc>
        <w:tc>
          <w:tcPr>
            <w:tcW w:w="1165" w:type="dxa"/>
            <w:vMerge w:val="continue"/>
            <w:shd w:val="clear" w:color="auto" w:fill="auto"/>
            <w:noWrap/>
            <w:vAlign w:val="center"/>
          </w:tcPr>
          <w:p>
            <w:pPr>
              <w:widowControl/>
              <w:jc w:val="center"/>
              <w:rPr>
                <w:rFonts w:ascii="仿宋" w:hAnsi="仿宋" w:eastAsia="仿宋" w:cs="仿宋"/>
                <w:color w:val="000000"/>
                <w:kern w:val="0"/>
                <w:sz w:val="24"/>
              </w:rPr>
            </w:pPr>
          </w:p>
        </w:tc>
        <w:tc>
          <w:tcPr>
            <w:tcW w:w="1064"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块状标本（块）</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375</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375</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vMerge w:val="continue"/>
            <w:shd w:val="clear" w:color="auto" w:fill="auto"/>
            <w:noWrap/>
            <w:vAlign w:val="center"/>
          </w:tcPr>
          <w:p>
            <w:pPr>
              <w:jc w:val="left"/>
              <w:rPr>
                <w:rFonts w:ascii="仿宋" w:hAnsi="仿宋" w:eastAsia="仿宋" w:cs="仿宋"/>
                <w:color w:val="000000"/>
                <w:kern w:val="0"/>
                <w:sz w:val="24"/>
              </w:rPr>
            </w:pPr>
          </w:p>
        </w:tc>
        <w:tc>
          <w:tcPr>
            <w:tcW w:w="1165" w:type="dxa"/>
            <w:vMerge w:val="continue"/>
            <w:shd w:val="clear" w:color="auto" w:fill="auto"/>
            <w:noWrap/>
            <w:vAlign w:val="center"/>
          </w:tcPr>
          <w:p>
            <w:pPr>
              <w:widowControl/>
              <w:jc w:val="center"/>
              <w:rPr>
                <w:rFonts w:ascii="仿宋" w:hAnsi="仿宋" w:eastAsia="仿宋" w:cs="仿宋"/>
                <w:color w:val="000000"/>
                <w:kern w:val="0"/>
                <w:sz w:val="24"/>
              </w:rPr>
            </w:pPr>
          </w:p>
        </w:tc>
        <w:tc>
          <w:tcPr>
            <w:tcW w:w="1064" w:type="dxa"/>
            <w:shd w:val="clear" w:color="auto" w:fill="auto"/>
            <w:noWrap/>
            <w:vAlign w:val="center"/>
          </w:tcPr>
          <w:p>
            <w:pPr>
              <w:widowControl/>
              <w:jc w:val="left"/>
              <w:rPr>
                <w:rFonts w:ascii="仿宋" w:hAnsi="仿宋" w:eastAsia="仿宋" w:cs="仿宋"/>
                <w:color w:val="000000"/>
                <w:kern w:val="0"/>
                <w:sz w:val="24"/>
              </w:rPr>
            </w:pPr>
            <w:r>
              <w:rPr>
                <w:rFonts w:ascii="仿宋" w:hAnsi="仿宋" w:eastAsia="仿宋" w:cs="仿宋"/>
                <w:color w:val="000000"/>
                <w:kern w:val="0"/>
                <w:sz w:val="24"/>
              </w:rPr>
              <w:t>购置仪器设备</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2台</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2台</w:t>
            </w:r>
          </w:p>
        </w:tc>
        <w:tc>
          <w:tcPr>
            <w:tcW w:w="707" w:type="dxa"/>
            <w:shd w:val="clear" w:color="auto" w:fill="auto"/>
            <w:noWrap/>
            <w:vAlign w:val="center"/>
          </w:tcPr>
          <w:p>
            <w:pPr>
              <w:widowControl/>
              <w:ind w:firstLine="240" w:firstLineChars="100"/>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vMerge w:val="continue"/>
            <w:shd w:val="clear" w:color="auto" w:fill="auto"/>
            <w:noWrap/>
            <w:vAlign w:val="center"/>
          </w:tcPr>
          <w:p>
            <w:pPr>
              <w:jc w:val="left"/>
              <w:rPr>
                <w:rFonts w:ascii="仿宋" w:hAnsi="仿宋" w:eastAsia="仿宋" w:cs="仿宋"/>
                <w:color w:val="000000"/>
                <w:kern w:val="0"/>
                <w:sz w:val="24"/>
              </w:rPr>
            </w:pPr>
          </w:p>
        </w:tc>
        <w:tc>
          <w:tcPr>
            <w:tcW w:w="116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时效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064"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预算执行率</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97.72%</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vMerge w:val="continue"/>
            <w:shd w:val="clear" w:color="auto" w:fill="auto"/>
            <w:noWrap/>
            <w:vAlign w:val="center"/>
          </w:tcPr>
          <w:p>
            <w:pPr>
              <w:jc w:val="left"/>
              <w:rPr>
                <w:rFonts w:ascii="仿宋" w:hAnsi="仿宋" w:eastAsia="仿宋" w:cs="仿宋"/>
                <w:color w:val="000000"/>
                <w:kern w:val="0"/>
                <w:sz w:val="24"/>
              </w:rPr>
            </w:pPr>
          </w:p>
        </w:tc>
        <w:tc>
          <w:tcPr>
            <w:tcW w:w="116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成本</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064" w:type="dxa"/>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年度预算数</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188</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183.71</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vMerge w:val="restart"/>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效益指标</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（30分）</w:t>
            </w:r>
          </w:p>
        </w:tc>
        <w:tc>
          <w:tcPr>
            <w:tcW w:w="116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经济效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06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5</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5</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vMerge w:val="continue"/>
            <w:shd w:val="clear" w:color="auto" w:fill="auto"/>
            <w:noWrap/>
            <w:vAlign w:val="center"/>
          </w:tcPr>
          <w:p>
            <w:pPr>
              <w:jc w:val="left"/>
              <w:rPr>
                <w:rFonts w:ascii="仿宋" w:hAnsi="仿宋" w:eastAsia="仿宋" w:cs="仿宋"/>
                <w:color w:val="000000"/>
                <w:kern w:val="0"/>
                <w:sz w:val="24"/>
              </w:rPr>
            </w:pPr>
          </w:p>
        </w:tc>
        <w:tc>
          <w:tcPr>
            <w:tcW w:w="116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社会效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06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vMerge w:val="continue"/>
            <w:shd w:val="clear" w:color="auto" w:fill="auto"/>
            <w:noWrap/>
            <w:vAlign w:val="center"/>
          </w:tcPr>
          <w:p>
            <w:pPr>
              <w:jc w:val="left"/>
              <w:rPr>
                <w:rFonts w:ascii="仿宋" w:hAnsi="仿宋" w:eastAsia="仿宋" w:cs="仿宋"/>
                <w:color w:val="000000"/>
                <w:kern w:val="0"/>
                <w:sz w:val="24"/>
              </w:rPr>
            </w:pPr>
          </w:p>
        </w:tc>
        <w:tc>
          <w:tcPr>
            <w:tcW w:w="116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生态效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06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center"/>
              <w:rPr>
                <w:rFonts w:ascii="仿宋" w:hAnsi="仿宋" w:eastAsia="仿宋" w:cs="仿宋"/>
                <w:color w:val="000000"/>
                <w:kern w:val="0"/>
                <w:sz w:val="24"/>
              </w:rPr>
            </w:pPr>
          </w:p>
        </w:tc>
        <w:tc>
          <w:tcPr>
            <w:tcW w:w="961" w:type="dxa"/>
            <w:vMerge w:val="continue"/>
            <w:shd w:val="clear" w:color="auto" w:fill="auto"/>
            <w:noWrap/>
            <w:vAlign w:val="center"/>
          </w:tcPr>
          <w:p>
            <w:pPr>
              <w:widowControl/>
              <w:jc w:val="left"/>
              <w:rPr>
                <w:rFonts w:ascii="仿宋" w:hAnsi="仿宋" w:eastAsia="仿宋" w:cs="仿宋"/>
                <w:color w:val="000000"/>
                <w:kern w:val="0"/>
                <w:sz w:val="24"/>
              </w:rPr>
            </w:pPr>
          </w:p>
        </w:tc>
        <w:tc>
          <w:tcPr>
            <w:tcW w:w="116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可持续影响指标</w:t>
            </w:r>
          </w:p>
        </w:tc>
        <w:tc>
          <w:tcPr>
            <w:tcW w:w="106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良好</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5</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5</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rPr>
            </w:pPr>
          </w:p>
        </w:tc>
        <w:tc>
          <w:tcPr>
            <w:tcW w:w="961"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满意度</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p>
            <w:pPr>
              <w:widowControl/>
              <w:rPr>
                <w:rFonts w:ascii="仿宋" w:hAnsi="仿宋" w:eastAsia="仿宋" w:cs="仿宋"/>
                <w:color w:val="000000"/>
                <w:kern w:val="0"/>
                <w:sz w:val="24"/>
              </w:rPr>
            </w:pPr>
            <w:r>
              <w:rPr>
                <w:rFonts w:hint="eastAsia" w:ascii="仿宋" w:hAnsi="仿宋" w:eastAsia="仿宋" w:cs="仿宋"/>
                <w:color w:val="000000"/>
                <w:kern w:val="0"/>
                <w:sz w:val="18"/>
                <w:szCs w:val="18"/>
              </w:rPr>
              <w:t>（10分）</w:t>
            </w:r>
          </w:p>
        </w:tc>
        <w:tc>
          <w:tcPr>
            <w:tcW w:w="116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服务对象满意度指标</w:t>
            </w:r>
          </w:p>
        </w:tc>
        <w:tc>
          <w:tcPr>
            <w:tcW w:w="1064"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满意</w:t>
            </w:r>
          </w:p>
        </w:tc>
        <w:tc>
          <w:tcPr>
            <w:tcW w:w="1209"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1255"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100</w:t>
            </w:r>
          </w:p>
        </w:tc>
        <w:tc>
          <w:tcPr>
            <w:tcW w:w="707"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936" w:type="dxa"/>
            <w:shd w:val="clear" w:color="auto" w:fill="auto"/>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1" w:type="dxa"/>
            <w:gridSpan w:val="4"/>
            <w:tcBorders>
              <w:left w:val="single" w:color="auto" w:sz="12" w:space="0"/>
              <w:bottom w:val="single" w:color="auto" w:sz="12" w:space="0"/>
            </w:tcBorders>
            <w:shd w:val="clear" w:color="auto" w:fill="auto"/>
            <w:noWrap/>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总  分</w:t>
            </w:r>
          </w:p>
        </w:tc>
        <w:tc>
          <w:tcPr>
            <w:tcW w:w="1209" w:type="dxa"/>
            <w:tcBorders>
              <w:bottom w:val="single" w:color="auto" w:sz="12" w:space="0"/>
            </w:tcBorders>
            <w:shd w:val="clear" w:color="auto" w:fill="auto"/>
            <w:noWrap/>
            <w:vAlign w:val="center"/>
          </w:tcPr>
          <w:p>
            <w:pPr>
              <w:widowControl/>
              <w:jc w:val="left"/>
              <w:rPr>
                <w:rFonts w:ascii="仿宋" w:hAnsi="仿宋" w:eastAsia="仿宋" w:cs="仿宋"/>
                <w:b/>
                <w:bCs/>
                <w:color w:val="000000"/>
                <w:kern w:val="0"/>
                <w:sz w:val="24"/>
              </w:rPr>
            </w:pPr>
          </w:p>
        </w:tc>
        <w:tc>
          <w:tcPr>
            <w:tcW w:w="1255" w:type="dxa"/>
            <w:tcBorders>
              <w:bottom w:val="single" w:color="auto" w:sz="12" w:space="0"/>
            </w:tcBorders>
            <w:shd w:val="clear" w:color="auto" w:fill="auto"/>
            <w:noWrap/>
            <w:vAlign w:val="center"/>
          </w:tcPr>
          <w:p>
            <w:pPr>
              <w:widowControl/>
              <w:jc w:val="left"/>
              <w:rPr>
                <w:rFonts w:ascii="仿宋" w:hAnsi="仿宋" w:eastAsia="仿宋" w:cs="仿宋"/>
                <w:b/>
                <w:bCs/>
                <w:color w:val="000000"/>
                <w:kern w:val="0"/>
                <w:sz w:val="24"/>
              </w:rPr>
            </w:pPr>
          </w:p>
        </w:tc>
        <w:tc>
          <w:tcPr>
            <w:tcW w:w="707" w:type="dxa"/>
            <w:tcBorders>
              <w:bottom w:val="single" w:color="auto" w:sz="12" w:space="0"/>
            </w:tcBorders>
            <w:shd w:val="clear" w:color="auto" w:fill="auto"/>
            <w:noWrap/>
            <w:vAlign w:val="center"/>
          </w:tcPr>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100</w:t>
            </w:r>
          </w:p>
        </w:tc>
        <w:tc>
          <w:tcPr>
            <w:tcW w:w="936" w:type="dxa"/>
            <w:tcBorders>
              <w:bottom w:val="single" w:color="auto" w:sz="12" w:space="0"/>
            </w:tcBorders>
            <w:shd w:val="clear" w:color="auto" w:fill="auto"/>
            <w:noWrap/>
            <w:vAlign w:val="center"/>
          </w:tcPr>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98</w:t>
            </w:r>
          </w:p>
        </w:tc>
        <w:tc>
          <w:tcPr>
            <w:tcW w:w="1418" w:type="dxa"/>
            <w:tcBorders>
              <w:bottom w:val="single" w:color="auto" w:sz="12" w:space="0"/>
              <w:right w:val="single" w:color="auto" w:sz="12" w:space="0"/>
            </w:tcBorders>
            <w:shd w:val="clear" w:color="auto" w:fill="auto"/>
            <w:noWrap/>
            <w:vAlign w:val="center"/>
          </w:tcPr>
          <w:p>
            <w:pPr>
              <w:widowControl/>
              <w:jc w:val="left"/>
              <w:rPr>
                <w:rFonts w:ascii="仿宋" w:hAnsi="仿宋" w:eastAsia="仿宋" w:cs="仿宋"/>
                <w:color w:val="000000"/>
                <w:kern w:val="0"/>
                <w:sz w:val="24"/>
              </w:rPr>
            </w:pPr>
          </w:p>
        </w:tc>
      </w:tr>
    </w:tbl>
    <w:p>
      <w:pPr>
        <w:spacing w:line="360" w:lineRule="exact"/>
        <w:rPr>
          <w:rFonts w:ascii="Times New Roman" w:hAnsi="Times New Roman" w:eastAsia="仿宋_GB2312"/>
          <w:kern w:val="0"/>
          <w:sz w:val="24"/>
        </w:rPr>
        <w:sectPr>
          <w:pgSz w:w="11906" w:h="16838"/>
          <w:pgMar w:top="1134" w:right="1701" w:bottom="1134" w:left="1701" w:header="851" w:footer="992" w:gutter="0"/>
          <w:cols w:space="720" w:num="1"/>
          <w:docGrid w:type="lines" w:linePitch="312" w:charSpace="0"/>
        </w:sectPr>
      </w:pPr>
      <w:r>
        <w:rPr>
          <w:rFonts w:ascii="Times New Roman" w:hAnsi="Times New Roman" w:eastAsia="仿宋_GB2312"/>
          <w:kern w:val="0"/>
          <w:sz w:val="24"/>
        </w:rPr>
        <w:t>填表人：</w:t>
      </w:r>
      <w:r>
        <w:rPr>
          <w:rFonts w:hint="eastAsia" w:ascii="Times New Roman" w:hAnsi="Times New Roman" w:eastAsia="仿宋_GB2312"/>
          <w:kern w:val="0"/>
          <w:sz w:val="24"/>
        </w:rPr>
        <w:t>汤萍</w:t>
      </w:r>
      <w:r>
        <w:rPr>
          <w:rFonts w:ascii="Times New Roman" w:hAnsi="Times New Roman" w:eastAsia="仿宋_GB2312"/>
          <w:kern w:val="0"/>
          <w:sz w:val="24"/>
        </w:rPr>
        <w:t>日期：</w:t>
      </w:r>
      <w:r>
        <w:rPr>
          <w:rFonts w:hint="eastAsia" w:ascii="Times New Roman" w:hAnsi="Times New Roman" w:eastAsia="仿宋_GB2312"/>
          <w:kern w:val="0"/>
          <w:sz w:val="24"/>
        </w:rPr>
        <w:t>2021-4-26</w:t>
      </w:r>
      <w:r>
        <w:rPr>
          <w:rFonts w:ascii="Times New Roman" w:hAnsi="Times New Roman" w:eastAsia="仿宋_GB2312"/>
          <w:kern w:val="0"/>
          <w:sz w:val="24"/>
        </w:rPr>
        <w:t xml:space="preserve"> 联系电话：</w:t>
      </w:r>
      <w:r>
        <w:rPr>
          <w:rFonts w:hint="eastAsia" w:ascii="Times New Roman" w:hAnsi="Times New Roman" w:eastAsia="仿宋_GB2312"/>
          <w:kern w:val="0"/>
          <w:sz w:val="24"/>
        </w:rPr>
        <w:t>0731-85582045</w:t>
      </w:r>
      <w:r>
        <w:rPr>
          <w:rFonts w:ascii="Times New Roman" w:hAnsi="Times New Roman" w:eastAsia="仿宋_GB2312"/>
          <w:kern w:val="0"/>
          <w:sz w:val="24"/>
        </w:rPr>
        <w:t xml:space="preserve">  单位负责人签字</w:t>
      </w:r>
      <w:r>
        <w:rPr>
          <w:rFonts w:hint="eastAsia" w:ascii="Times New Roman" w:hAnsi="Times New Roman"/>
          <w:kern w:val="0"/>
          <w:sz w:val="24"/>
        </w:rPr>
        <w:t>：</w:t>
      </w:r>
    </w:p>
    <w:p>
      <w:pPr>
        <w:widowControl/>
        <w:jc w:val="left"/>
        <w:rPr>
          <w:rFonts w:eastAsia="黑体"/>
          <w:sz w:val="32"/>
          <w:szCs w:val="32"/>
        </w:rPr>
      </w:pPr>
      <w:r>
        <w:rPr>
          <w:rFonts w:eastAsia="黑体"/>
          <w:sz w:val="32"/>
          <w:szCs w:val="32"/>
        </w:rPr>
        <w:t>附件</w:t>
      </w:r>
      <w:r>
        <w:rPr>
          <w:rFonts w:hint="eastAsia" w:eastAsia="黑体"/>
          <w:sz w:val="32"/>
          <w:szCs w:val="32"/>
        </w:rPr>
        <w:t>3</w:t>
      </w:r>
    </w:p>
    <w:p>
      <w:pPr>
        <w:widowControl/>
        <w:jc w:val="center"/>
        <w:rPr>
          <w:rFonts w:eastAsia="仿宋_GB2312"/>
          <w:color w:val="000000"/>
          <w:kern w:val="0"/>
          <w:szCs w:val="21"/>
        </w:rPr>
      </w:pPr>
      <w:r>
        <w:rPr>
          <w:rFonts w:hint="eastAsia" w:eastAsia="方正小标宋_GBK"/>
          <w:color w:val="000000"/>
          <w:kern w:val="0"/>
          <w:sz w:val="36"/>
          <w:szCs w:val="36"/>
        </w:rPr>
        <w:t>2020年度</w:t>
      </w:r>
      <w:r>
        <w:rPr>
          <w:rFonts w:eastAsia="方正小标宋_GBK"/>
          <w:color w:val="000000"/>
          <w:kern w:val="0"/>
          <w:sz w:val="36"/>
          <w:szCs w:val="36"/>
        </w:rPr>
        <w:t>项目支出绩效自评表</w:t>
      </w:r>
      <w:r>
        <w:rPr>
          <w:rFonts w:hint="eastAsia" w:eastAsia="方正小标宋_GBK"/>
          <w:color w:val="000000"/>
          <w:kern w:val="0"/>
          <w:sz w:val="36"/>
          <w:szCs w:val="36"/>
        </w:rPr>
        <w:t>1</w:t>
      </w:r>
    </w:p>
    <w:tbl>
      <w:tblPr>
        <w:tblStyle w:val="5"/>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61"/>
        <w:gridCol w:w="1337"/>
        <w:gridCol w:w="892"/>
        <w:gridCol w:w="212"/>
        <w:gridCol w:w="30"/>
        <w:gridCol w:w="967"/>
        <w:gridCol w:w="1255"/>
        <w:gridCol w:w="707"/>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shd w:val="clear" w:color="auto" w:fill="auto"/>
            <w:vAlign w:val="center"/>
          </w:tcPr>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项目支</w:t>
            </w:r>
          </w:p>
          <w:p>
            <w:pPr>
              <w:widowControl/>
              <w:spacing w:line="26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出名称</w:t>
            </w:r>
          </w:p>
        </w:tc>
        <w:tc>
          <w:tcPr>
            <w:tcW w:w="8652" w:type="dxa"/>
            <w:gridSpan w:val="10"/>
            <w:tcBorders>
              <w:top w:val="single" w:color="auto" w:sz="12" w:space="0"/>
              <w:right w:val="single" w:color="auto" w:sz="12"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其他项目-市场监督管理专项（市县）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主管</w:t>
            </w:r>
          </w:p>
          <w:p>
            <w:pPr>
              <w:widowControl/>
              <w:jc w:val="left"/>
              <w:rPr>
                <w:rFonts w:ascii="仿宋" w:hAnsi="仿宋" w:eastAsia="仿宋" w:cs="仿宋"/>
                <w:b/>
                <w:bCs/>
                <w:color w:val="000000"/>
                <w:kern w:val="0"/>
                <w:sz w:val="24"/>
              </w:rPr>
            </w:pPr>
            <w:r>
              <w:rPr>
                <w:rFonts w:hint="eastAsia" w:ascii="仿宋" w:hAnsi="仿宋" w:eastAsia="仿宋" w:cs="仿宋"/>
                <w:b/>
                <w:bCs/>
                <w:color w:val="000000"/>
                <w:kern w:val="0"/>
                <w:sz w:val="24"/>
              </w:rPr>
              <w:t>部门</w:t>
            </w:r>
          </w:p>
        </w:tc>
        <w:tc>
          <w:tcPr>
            <w:tcW w:w="4399" w:type="dxa"/>
            <w:gridSpan w:val="6"/>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湖南省林业局</w:t>
            </w:r>
          </w:p>
        </w:tc>
        <w:tc>
          <w:tcPr>
            <w:tcW w:w="1255"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实施单位</w:t>
            </w:r>
          </w:p>
        </w:tc>
        <w:tc>
          <w:tcPr>
            <w:tcW w:w="2998" w:type="dxa"/>
            <w:gridSpan w:val="3"/>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湖南省林产品质量检验检测中心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rPr>
              <w:t>项目资金</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（万元）</w:t>
            </w:r>
          </w:p>
        </w:tc>
        <w:tc>
          <w:tcPr>
            <w:tcW w:w="2298" w:type="dxa"/>
            <w:gridSpan w:val="2"/>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92"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年初</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1209" w:type="dxa"/>
            <w:gridSpan w:val="3"/>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全年</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预算数</w:t>
            </w:r>
          </w:p>
        </w:tc>
        <w:tc>
          <w:tcPr>
            <w:tcW w:w="1255"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全年</w:t>
            </w:r>
          </w:p>
          <w:p>
            <w:pPr>
              <w:jc w:val="center"/>
              <w:rPr>
                <w:rFonts w:ascii="仿宋" w:hAnsi="仿宋" w:eastAsia="仿宋" w:cs="仿宋"/>
                <w:sz w:val="24"/>
              </w:rPr>
            </w:pPr>
            <w:r>
              <w:rPr>
                <w:rFonts w:hint="eastAsia" w:ascii="仿宋" w:hAnsi="仿宋" w:eastAsia="仿宋" w:cs="仿宋"/>
                <w:sz w:val="24"/>
              </w:rPr>
              <w:t>执行数</w:t>
            </w:r>
          </w:p>
        </w:tc>
        <w:tc>
          <w:tcPr>
            <w:tcW w:w="707"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分值</w:t>
            </w:r>
          </w:p>
        </w:tc>
        <w:tc>
          <w:tcPr>
            <w:tcW w:w="873" w:type="dxa"/>
            <w:shd w:val="clear" w:color="auto" w:fill="auto"/>
            <w:vAlign w:val="center"/>
          </w:tcPr>
          <w:p>
            <w:pPr>
              <w:jc w:val="center"/>
              <w:rPr>
                <w:rFonts w:ascii="仿宋" w:hAnsi="仿宋" w:eastAsia="仿宋" w:cs="仿宋"/>
                <w:sz w:val="24"/>
              </w:rPr>
            </w:pPr>
            <w:r>
              <w:rPr>
                <w:rFonts w:hint="eastAsia" w:ascii="仿宋" w:hAnsi="仿宋" w:eastAsia="仿宋" w:cs="仿宋"/>
                <w:sz w:val="24"/>
              </w:rPr>
              <w:t>执行率</w:t>
            </w:r>
          </w:p>
        </w:tc>
        <w:tc>
          <w:tcPr>
            <w:tcW w:w="1418" w:type="dxa"/>
            <w:tcBorders>
              <w:right w:val="single" w:color="auto" w:sz="12"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年度资金总额　</w:t>
            </w:r>
          </w:p>
        </w:tc>
        <w:tc>
          <w:tcPr>
            <w:tcW w:w="89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4</w:t>
            </w:r>
          </w:p>
        </w:tc>
        <w:tc>
          <w:tcPr>
            <w:tcW w:w="1209" w:type="dxa"/>
            <w:gridSpan w:val="3"/>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4</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3.5</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10</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87.5%</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其中：当年财政拨款　</w:t>
            </w:r>
          </w:p>
        </w:tc>
        <w:tc>
          <w:tcPr>
            <w:tcW w:w="89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4</w:t>
            </w:r>
          </w:p>
        </w:tc>
        <w:tc>
          <w:tcPr>
            <w:tcW w:w="1209" w:type="dxa"/>
            <w:gridSpan w:val="3"/>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4</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3.5</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上年结转资金　</w:t>
            </w:r>
          </w:p>
        </w:tc>
        <w:tc>
          <w:tcPr>
            <w:tcW w:w="89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09" w:type="dxa"/>
            <w:gridSpan w:val="3"/>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2298" w:type="dxa"/>
            <w:gridSpan w:val="2"/>
            <w:shd w:val="clear" w:color="auto" w:fill="auto"/>
            <w:vAlign w:val="center"/>
          </w:tcPr>
          <w:p>
            <w:pPr>
              <w:widowControl/>
              <w:ind w:firstLine="240" w:firstLineChars="100"/>
              <w:jc w:val="left"/>
              <w:rPr>
                <w:rFonts w:ascii="仿宋" w:hAnsi="仿宋" w:eastAsia="仿宋" w:cs="仿宋"/>
                <w:color w:val="000000"/>
                <w:kern w:val="0"/>
                <w:sz w:val="24"/>
              </w:rPr>
            </w:pPr>
            <w:r>
              <w:rPr>
                <w:rFonts w:hint="eastAsia" w:ascii="仿宋" w:hAnsi="仿宋" w:eastAsia="仿宋" w:cs="仿宋"/>
                <w:color w:val="000000"/>
                <w:kern w:val="0"/>
                <w:sz w:val="24"/>
              </w:rPr>
              <w:t>其他资金</w:t>
            </w:r>
          </w:p>
        </w:tc>
        <w:tc>
          <w:tcPr>
            <w:tcW w:w="892"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09" w:type="dxa"/>
            <w:gridSpan w:val="3"/>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255"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07"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873" w:type="dxa"/>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8" w:type="dxa"/>
            <w:tcBorders>
              <w:right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年度总体目标</w:t>
            </w:r>
          </w:p>
        </w:tc>
        <w:tc>
          <w:tcPr>
            <w:tcW w:w="4399" w:type="dxa"/>
            <w:gridSpan w:val="6"/>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预期目标</w:t>
            </w:r>
          </w:p>
        </w:tc>
        <w:tc>
          <w:tcPr>
            <w:tcW w:w="4253" w:type="dxa"/>
            <w:gridSpan w:val="4"/>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shd w:val="clear" w:color="auto" w:fill="auto"/>
            <w:vAlign w:val="center"/>
          </w:tcPr>
          <w:p>
            <w:pPr>
              <w:widowControl/>
              <w:jc w:val="left"/>
              <w:rPr>
                <w:rFonts w:ascii="仿宋" w:hAnsi="仿宋" w:eastAsia="仿宋" w:cs="仿宋"/>
                <w:b/>
                <w:bCs/>
                <w:color w:val="000000"/>
                <w:kern w:val="0"/>
                <w:sz w:val="24"/>
              </w:rPr>
            </w:pPr>
          </w:p>
        </w:tc>
        <w:tc>
          <w:tcPr>
            <w:tcW w:w="4399" w:type="dxa"/>
            <w:gridSpan w:val="6"/>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项目在搜集整理本行业连续多年对林地土壤进行监测数据的基础上，通过探明食用林产品产地土壤污染的主控因素，结合食用林产品对土壤污染物不同响应特性，提出食用竹笋产地土壤主要污染物安全阈值。</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w:t>
            </w:r>
          </w:p>
        </w:tc>
        <w:tc>
          <w:tcPr>
            <w:tcW w:w="4253" w:type="dxa"/>
            <w:gridSpan w:val="4"/>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全面梳理国内外相关法律法规，通过深入分析食用林产品产地土壤安全利用与管理的实际需求，收集国内外食用林产品产地土壤污染防治相关的法规、规章或规范性法律文件，为本标准制定提供详实技术资料。整理本行业连续多年对食用林产品及其产地土壤监测数据，对全省食用林产品生产基地、合作社等组织进行调研取样，分析</w:t>
            </w:r>
            <w:r>
              <w:rPr>
                <w:rFonts w:hint="eastAsia" w:ascii="仿宋" w:hAnsi="仿宋" w:eastAsia="仿宋" w:cs="仿宋"/>
                <w:color w:val="000000"/>
                <w:kern w:val="0"/>
                <w:sz w:val="24"/>
              </w:rPr>
              <w:t>食用竹笋</w:t>
            </w:r>
            <w:r>
              <w:rPr>
                <w:rFonts w:ascii="仿宋" w:hAnsi="仿宋" w:eastAsia="仿宋" w:cs="仿宋"/>
                <w:color w:val="000000"/>
                <w:kern w:val="0"/>
                <w:sz w:val="24"/>
              </w:rPr>
              <w:t>与产地土壤污染的关联性，开展针对性地实地调研，收集实地资料。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绩</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效</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指</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标</w:t>
            </w:r>
          </w:p>
        </w:tc>
        <w:tc>
          <w:tcPr>
            <w:tcW w:w="961"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一级指标</w:t>
            </w:r>
          </w:p>
        </w:tc>
        <w:tc>
          <w:tcPr>
            <w:tcW w:w="1337"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二级指标</w:t>
            </w:r>
          </w:p>
        </w:tc>
        <w:tc>
          <w:tcPr>
            <w:tcW w:w="1134" w:type="dxa"/>
            <w:gridSpan w:val="3"/>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三级指标</w:t>
            </w:r>
          </w:p>
        </w:tc>
        <w:tc>
          <w:tcPr>
            <w:tcW w:w="967"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年度</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指标值</w:t>
            </w:r>
          </w:p>
        </w:tc>
        <w:tc>
          <w:tcPr>
            <w:tcW w:w="1255"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实际</w:t>
            </w:r>
          </w:p>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完成值</w:t>
            </w:r>
          </w:p>
        </w:tc>
        <w:tc>
          <w:tcPr>
            <w:tcW w:w="707"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分值</w:t>
            </w:r>
          </w:p>
        </w:tc>
        <w:tc>
          <w:tcPr>
            <w:tcW w:w="873" w:type="dxa"/>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得分</w:t>
            </w:r>
          </w:p>
        </w:tc>
        <w:tc>
          <w:tcPr>
            <w:tcW w:w="1418" w:type="dxa"/>
            <w:tcBorders>
              <w:right w:val="single" w:color="auto" w:sz="12" w:space="0"/>
            </w:tcBorders>
            <w:shd w:val="clear" w:color="auto" w:fill="auto"/>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偏差原因</w:t>
            </w:r>
          </w:p>
          <w:p>
            <w:pPr>
              <w:widowControl/>
              <w:spacing w:line="240" w:lineRule="exact"/>
              <w:rPr>
                <w:rFonts w:ascii="仿宋" w:hAnsi="仿宋" w:eastAsia="仿宋" w:cs="仿宋"/>
                <w:color w:val="000000"/>
                <w:kern w:val="0"/>
                <w:sz w:val="24"/>
              </w:rPr>
            </w:pPr>
            <w:r>
              <w:rPr>
                <w:rFonts w:hint="eastAsia" w:ascii="仿宋" w:hAnsi="仿宋" w:eastAsia="仿宋" w:cs="仿宋"/>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restart"/>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产出指标</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(50分)</w:t>
            </w:r>
          </w:p>
        </w:tc>
        <w:tc>
          <w:tcPr>
            <w:tcW w:w="133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数量</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134" w:type="dxa"/>
            <w:gridSpan w:val="3"/>
            <w:shd w:val="clear" w:color="auto" w:fill="auto"/>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标准制修订及项目数量是否达到绩效目标</w:t>
            </w:r>
          </w:p>
        </w:tc>
        <w:tc>
          <w:tcPr>
            <w:tcW w:w="967"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1255"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ascii="仿宋" w:hAnsi="仿宋" w:eastAsia="仿宋" w:cs="仿宋"/>
                <w:color w:val="000000"/>
                <w:kern w:val="0"/>
                <w:sz w:val="24"/>
              </w:rPr>
              <w:t>是</w:t>
            </w:r>
          </w:p>
        </w:tc>
        <w:tc>
          <w:tcPr>
            <w:tcW w:w="707"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873"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1418" w:type="dxa"/>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为跨年项目，将在2021年继续进行。</w:t>
            </w:r>
          </w:p>
          <w:p>
            <w:pPr>
              <w:widowControl/>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质量</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104" w:type="dxa"/>
            <w:gridSpan w:val="2"/>
            <w:shd w:val="clear" w:color="auto" w:fill="auto"/>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项目结题是否符合合同要求。</w:t>
            </w:r>
          </w:p>
        </w:tc>
        <w:tc>
          <w:tcPr>
            <w:tcW w:w="997" w:type="dxa"/>
            <w:gridSpan w:val="2"/>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1255"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70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873"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1418" w:type="dxa"/>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时效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134" w:type="dxa"/>
            <w:gridSpan w:val="3"/>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预算执行率</w:t>
            </w:r>
          </w:p>
        </w:tc>
        <w:tc>
          <w:tcPr>
            <w:tcW w:w="96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1255"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87.50%</w:t>
            </w:r>
          </w:p>
        </w:tc>
        <w:tc>
          <w:tcPr>
            <w:tcW w:w="70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873"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18</w:t>
            </w:r>
          </w:p>
        </w:tc>
        <w:tc>
          <w:tcPr>
            <w:tcW w:w="1418" w:type="dxa"/>
            <w:tcBorders>
              <w:right w:val="single" w:color="auto" w:sz="12" w:space="0"/>
            </w:tcBorders>
            <w:shd w:val="clear" w:color="auto" w:fill="auto"/>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为跨年项目，将在2021年继续进行。</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成本</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tc>
        <w:tc>
          <w:tcPr>
            <w:tcW w:w="1134" w:type="dxa"/>
            <w:gridSpan w:val="3"/>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年度预算数</w:t>
            </w:r>
          </w:p>
        </w:tc>
        <w:tc>
          <w:tcPr>
            <w:tcW w:w="96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255"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3.5</w:t>
            </w:r>
          </w:p>
        </w:tc>
        <w:tc>
          <w:tcPr>
            <w:tcW w:w="70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20</w:t>
            </w:r>
          </w:p>
        </w:tc>
        <w:tc>
          <w:tcPr>
            <w:tcW w:w="873"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18</w:t>
            </w:r>
          </w:p>
        </w:tc>
        <w:tc>
          <w:tcPr>
            <w:tcW w:w="1418" w:type="dxa"/>
            <w:tcBorders>
              <w:right w:val="single" w:color="auto" w:sz="12" w:space="0"/>
            </w:tcBorders>
            <w:shd w:val="clear" w:color="auto" w:fill="auto"/>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为跨年项目，将在2021年继续进行。</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restart"/>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效益指标</w:t>
            </w:r>
          </w:p>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（40分）</w:t>
            </w:r>
          </w:p>
        </w:tc>
        <w:tc>
          <w:tcPr>
            <w:tcW w:w="133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经济效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134" w:type="dxa"/>
            <w:gridSpan w:val="3"/>
            <w:shd w:val="clear" w:color="auto" w:fill="auto"/>
          </w:tcPr>
          <w:p>
            <w:pPr>
              <w:widowControl/>
              <w:jc w:val="center"/>
              <w:rPr>
                <w:rFonts w:ascii="仿宋" w:hAnsi="仿宋" w:eastAsia="仿宋" w:cs="仿宋"/>
                <w:color w:val="000000"/>
                <w:kern w:val="0"/>
                <w:sz w:val="24"/>
              </w:rPr>
            </w:pPr>
            <w:r>
              <w:rPr>
                <w:rFonts w:ascii="仿宋" w:hAnsi="仿宋" w:eastAsia="仿宋" w:cs="仿宋"/>
                <w:color w:val="000000"/>
                <w:kern w:val="0"/>
                <w:sz w:val="24"/>
              </w:rPr>
              <w:t>项目单位通过实施标准化项目，促进了经济效益提升</w:t>
            </w:r>
          </w:p>
        </w:tc>
        <w:tc>
          <w:tcPr>
            <w:tcW w:w="96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1255"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70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873"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418" w:type="dxa"/>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社会效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134" w:type="dxa"/>
            <w:gridSpan w:val="3"/>
            <w:shd w:val="clear" w:color="auto" w:fill="auto"/>
          </w:tcPr>
          <w:p>
            <w:pPr>
              <w:widowControl/>
              <w:jc w:val="center"/>
              <w:rPr>
                <w:rFonts w:ascii="仿宋" w:hAnsi="仿宋" w:eastAsia="仿宋" w:cs="仿宋"/>
                <w:color w:val="000000"/>
                <w:kern w:val="0"/>
                <w:sz w:val="24"/>
              </w:rPr>
            </w:pPr>
            <w:r>
              <w:rPr>
                <w:rFonts w:ascii="仿宋" w:hAnsi="仿宋" w:eastAsia="仿宋" w:cs="仿宋"/>
                <w:color w:val="000000"/>
                <w:kern w:val="0"/>
                <w:sz w:val="24"/>
              </w:rPr>
              <w:t>通过实施标准化项目，促进了资源节约和环境保护。</w:t>
            </w:r>
          </w:p>
        </w:tc>
        <w:tc>
          <w:tcPr>
            <w:tcW w:w="96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1255"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70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873"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418" w:type="dxa"/>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vMerge w:val="continue"/>
            <w:shd w:val="clear" w:color="auto" w:fill="auto"/>
            <w:vAlign w:val="center"/>
          </w:tcPr>
          <w:p>
            <w:pPr>
              <w:jc w:val="left"/>
              <w:rPr>
                <w:rFonts w:ascii="仿宋" w:hAnsi="仿宋" w:eastAsia="仿宋" w:cs="仿宋"/>
                <w:color w:val="000000"/>
                <w:kern w:val="0"/>
                <w:sz w:val="24"/>
              </w:rPr>
            </w:pPr>
          </w:p>
        </w:tc>
        <w:tc>
          <w:tcPr>
            <w:tcW w:w="133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生态效</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益指标</w:t>
            </w:r>
          </w:p>
        </w:tc>
        <w:tc>
          <w:tcPr>
            <w:tcW w:w="1134" w:type="dxa"/>
            <w:gridSpan w:val="3"/>
            <w:shd w:val="clear" w:color="auto" w:fill="auto"/>
          </w:tcPr>
          <w:p>
            <w:pPr>
              <w:widowControl/>
              <w:jc w:val="center"/>
              <w:rPr>
                <w:rFonts w:ascii="仿宋" w:hAnsi="仿宋" w:eastAsia="仿宋" w:cs="仿宋"/>
                <w:color w:val="000000"/>
                <w:kern w:val="0"/>
                <w:sz w:val="24"/>
              </w:rPr>
            </w:pPr>
          </w:p>
        </w:tc>
        <w:tc>
          <w:tcPr>
            <w:tcW w:w="967" w:type="dxa"/>
            <w:shd w:val="clear" w:color="auto" w:fill="auto"/>
            <w:vAlign w:val="center"/>
          </w:tcPr>
          <w:p>
            <w:pPr>
              <w:widowControl/>
              <w:jc w:val="center"/>
              <w:rPr>
                <w:rFonts w:ascii="仿宋" w:hAnsi="仿宋" w:eastAsia="仿宋" w:cs="仿宋"/>
                <w:color w:val="000000"/>
                <w:kern w:val="0"/>
                <w:sz w:val="24"/>
              </w:rPr>
            </w:pPr>
          </w:p>
        </w:tc>
        <w:tc>
          <w:tcPr>
            <w:tcW w:w="1255" w:type="dxa"/>
            <w:shd w:val="clear" w:color="auto" w:fill="auto"/>
            <w:vAlign w:val="center"/>
          </w:tcPr>
          <w:p>
            <w:pPr>
              <w:widowControl/>
              <w:jc w:val="center"/>
              <w:rPr>
                <w:rFonts w:ascii="仿宋" w:hAnsi="仿宋" w:eastAsia="仿宋" w:cs="仿宋"/>
                <w:color w:val="000000"/>
                <w:kern w:val="0"/>
                <w:sz w:val="24"/>
              </w:rPr>
            </w:pPr>
          </w:p>
        </w:tc>
        <w:tc>
          <w:tcPr>
            <w:tcW w:w="707" w:type="dxa"/>
            <w:shd w:val="clear" w:color="auto" w:fill="auto"/>
            <w:vAlign w:val="center"/>
          </w:tcPr>
          <w:p>
            <w:pPr>
              <w:widowControl/>
              <w:jc w:val="center"/>
              <w:rPr>
                <w:rFonts w:ascii="仿宋" w:hAnsi="仿宋" w:eastAsia="仿宋" w:cs="仿宋"/>
                <w:color w:val="000000"/>
                <w:kern w:val="0"/>
                <w:sz w:val="24"/>
              </w:rPr>
            </w:pPr>
          </w:p>
        </w:tc>
        <w:tc>
          <w:tcPr>
            <w:tcW w:w="873" w:type="dxa"/>
            <w:shd w:val="clear" w:color="auto" w:fill="auto"/>
            <w:vAlign w:val="center"/>
          </w:tcPr>
          <w:p>
            <w:pPr>
              <w:widowControl/>
              <w:jc w:val="center"/>
              <w:rPr>
                <w:rFonts w:ascii="仿宋" w:hAnsi="仿宋" w:eastAsia="仿宋" w:cs="仿宋"/>
                <w:color w:val="000000"/>
                <w:kern w:val="0"/>
                <w:sz w:val="24"/>
              </w:rPr>
            </w:pPr>
          </w:p>
        </w:tc>
        <w:tc>
          <w:tcPr>
            <w:tcW w:w="1418" w:type="dxa"/>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01" w:type="dxa"/>
            <w:vMerge w:val="continue"/>
            <w:tcBorders>
              <w:left w:val="single" w:color="auto" w:sz="12" w:space="0"/>
            </w:tcBorders>
            <w:shd w:val="clear" w:color="auto" w:fill="auto"/>
            <w:vAlign w:val="center"/>
          </w:tcPr>
          <w:p>
            <w:pPr>
              <w:jc w:val="left"/>
              <w:rPr>
                <w:rFonts w:ascii="仿宋" w:hAnsi="仿宋" w:eastAsia="仿宋" w:cs="仿宋"/>
                <w:color w:val="000000"/>
                <w:kern w:val="0"/>
                <w:sz w:val="24"/>
              </w:rPr>
            </w:pPr>
          </w:p>
        </w:tc>
        <w:tc>
          <w:tcPr>
            <w:tcW w:w="961"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满意度</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指标</w:t>
            </w:r>
          </w:p>
          <w:p>
            <w:pPr>
              <w:widowControl/>
              <w:rPr>
                <w:rFonts w:ascii="仿宋" w:hAnsi="仿宋" w:eastAsia="仿宋" w:cs="仿宋"/>
                <w:color w:val="000000"/>
                <w:kern w:val="0"/>
                <w:sz w:val="24"/>
              </w:rPr>
            </w:pPr>
            <w:r>
              <w:rPr>
                <w:rFonts w:hint="eastAsia" w:ascii="仿宋" w:hAnsi="仿宋" w:eastAsia="仿宋" w:cs="仿宋"/>
                <w:color w:val="000000"/>
                <w:kern w:val="0"/>
                <w:sz w:val="18"/>
                <w:szCs w:val="18"/>
              </w:rPr>
              <w:t>（10分）</w:t>
            </w:r>
          </w:p>
        </w:tc>
        <w:tc>
          <w:tcPr>
            <w:tcW w:w="1337"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服务对象满意度指标</w:t>
            </w:r>
          </w:p>
        </w:tc>
        <w:tc>
          <w:tcPr>
            <w:tcW w:w="1134" w:type="dxa"/>
            <w:gridSpan w:val="3"/>
            <w:shd w:val="clear" w:color="auto" w:fill="auto"/>
          </w:tcPr>
          <w:p>
            <w:pPr>
              <w:widowControl/>
              <w:jc w:val="center"/>
              <w:rPr>
                <w:rFonts w:ascii="仿宋" w:hAnsi="仿宋" w:eastAsia="仿宋" w:cs="仿宋"/>
                <w:color w:val="000000"/>
                <w:kern w:val="0"/>
                <w:sz w:val="24"/>
              </w:rPr>
            </w:pPr>
            <w:r>
              <w:rPr>
                <w:rFonts w:ascii="仿宋" w:hAnsi="仿宋" w:eastAsia="仿宋" w:cs="仿宋"/>
                <w:color w:val="000000"/>
                <w:kern w:val="0"/>
                <w:sz w:val="24"/>
              </w:rPr>
              <w:t>项目预期服务对象对项目实施的满意度</w:t>
            </w:r>
          </w:p>
        </w:tc>
        <w:tc>
          <w:tcPr>
            <w:tcW w:w="967"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1255"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707"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873" w:type="dxa"/>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1418" w:type="dxa"/>
            <w:tcBorders>
              <w:right w:val="single" w:color="auto" w:sz="12" w:space="0"/>
            </w:tcBorders>
            <w:shd w:val="clear" w:color="auto" w:fill="auto"/>
            <w:vAlign w:val="center"/>
          </w:tcPr>
          <w:p>
            <w:pPr>
              <w:widowControl/>
              <w:jc w:val="center"/>
              <w:rPr>
                <w:rFonts w:ascii="仿宋" w:hAnsi="仿宋" w:eastAsia="仿宋" w:cs="仿宋"/>
                <w:color w:val="000000"/>
                <w:kern w:val="0"/>
                <w:sz w:val="24"/>
              </w:rPr>
            </w:pPr>
          </w:p>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5" w:type="dxa"/>
            <w:gridSpan w:val="8"/>
            <w:tcBorders>
              <w:left w:val="single" w:color="auto" w:sz="12" w:space="0"/>
              <w:bottom w:val="single" w:color="auto" w:sz="12"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总  分</w:t>
            </w:r>
          </w:p>
        </w:tc>
        <w:tc>
          <w:tcPr>
            <w:tcW w:w="707" w:type="dxa"/>
            <w:tcBorders>
              <w:bottom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873" w:type="dxa"/>
            <w:tcBorders>
              <w:bottom w:val="single" w:color="auto" w:sz="12"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xml:space="preserve">  96</w:t>
            </w:r>
          </w:p>
        </w:tc>
        <w:tc>
          <w:tcPr>
            <w:tcW w:w="1418" w:type="dxa"/>
            <w:tcBorders>
              <w:bottom w:val="single" w:color="auto" w:sz="12" w:space="0"/>
              <w:right w:val="single" w:color="auto" w:sz="12" w:space="0"/>
            </w:tcBorders>
            <w:shd w:val="clear" w:color="auto" w:fill="auto"/>
            <w:vAlign w:val="center"/>
          </w:tcPr>
          <w:p>
            <w:pPr>
              <w:widowControl/>
              <w:jc w:val="left"/>
              <w:rPr>
                <w:rFonts w:ascii="仿宋" w:hAnsi="仿宋" w:eastAsia="仿宋" w:cs="仿宋"/>
                <w:color w:val="000000"/>
                <w:kern w:val="0"/>
                <w:sz w:val="24"/>
              </w:rPr>
            </w:pPr>
          </w:p>
        </w:tc>
      </w:tr>
    </w:tbl>
    <w:p>
      <w:pPr>
        <w:spacing w:line="360" w:lineRule="exact"/>
        <w:rPr>
          <w:rFonts w:ascii="Times New Roman" w:hAnsi="Times New Roman" w:eastAsia="仿宋_GB2312"/>
          <w:kern w:val="0"/>
          <w:sz w:val="24"/>
        </w:rPr>
        <w:sectPr>
          <w:pgSz w:w="11906" w:h="16838"/>
          <w:pgMar w:top="1134" w:right="1701" w:bottom="1134" w:left="1701" w:header="851" w:footer="992" w:gutter="0"/>
          <w:cols w:space="720" w:num="1"/>
          <w:docGrid w:type="lines" w:linePitch="312" w:charSpace="0"/>
        </w:sectPr>
      </w:pPr>
      <w:r>
        <w:rPr>
          <w:rFonts w:ascii="Times New Roman" w:hAnsi="Times New Roman" w:eastAsia="仿宋_GB2312"/>
          <w:kern w:val="0"/>
          <w:sz w:val="24"/>
        </w:rPr>
        <w:t>填表人：</w:t>
      </w:r>
      <w:r>
        <w:rPr>
          <w:rFonts w:hint="eastAsia" w:ascii="Times New Roman" w:hAnsi="Times New Roman" w:eastAsia="仿宋_GB2312"/>
          <w:kern w:val="0"/>
          <w:sz w:val="24"/>
        </w:rPr>
        <w:t>汤萍</w:t>
      </w:r>
      <w:r>
        <w:rPr>
          <w:rFonts w:ascii="Times New Roman" w:hAnsi="Times New Roman" w:eastAsia="仿宋_GB2312"/>
          <w:kern w:val="0"/>
          <w:sz w:val="24"/>
        </w:rPr>
        <w:t>日期：</w:t>
      </w:r>
      <w:r>
        <w:rPr>
          <w:rFonts w:hint="eastAsia" w:ascii="Times New Roman" w:hAnsi="Times New Roman" w:eastAsia="仿宋_GB2312"/>
          <w:kern w:val="0"/>
          <w:sz w:val="24"/>
        </w:rPr>
        <w:t>2021-4-26</w:t>
      </w:r>
      <w:r>
        <w:rPr>
          <w:rFonts w:ascii="Times New Roman" w:hAnsi="Times New Roman" w:eastAsia="仿宋_GB2312"/>
          <w:kern w:val="0"/>
          <w:sz w:val="24"/>
        </w:rPr>
        <w:t xml:space="preserve"> 联系电话：</w:t>
      </w:r>
      <w:r>
        <w:rPr>
          <w:rFonts w:hint="eastAsia" w:ascii="Times New Roman" w:hAnsi="Times New Roman" w:eastAsia="仿宋_GB2312"/>
          <w:kern w:val="0"/>
          <w:sz w:val="24"/>
        </w:rPr>
        <w:t>0731-85582045</w:t>
      </w:r>
      <w:r>
        <w:rPr>
          <w:rFonts w:ascii="Times New Roman" w:hAnsi="Times New Roman" w:eastAsia="仿宋_GB2312"/>
          <w:kern w:val="0"/>
          <w:sz w:val="24"/>
        </w:rPr>
        <w:t xml:space="preserve">  单位负责人签字</w:t>
      </w:r>
      <w:r>
        <w:rPr>
          <w:rFonts w:hint="eastAsia" w:ascii="Times New Roman" w:hAnsi="Times New Roman"/>
          <w:kern w:val="0"/>
          <w:sz w:val="24"/>
        </w:rPr>
        <w:t>：岳超</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spacing w:line="600" w:lineRule="exact"/>
        <w:rPr>
          <w:rFonts w:eastAsia="黑体"/>
          <w:kern w:val="0"/>
          <w:sz w:val="32"/>
          <w:szCs w:val="32"/>
        </w:rPr>
      </w:pPr>
      <w:r>
        <w:rPr>
          <w:rFonts w:eastAsia="黑体"/>
          <w:kern w:val="0"/>
          <w:sz w:val="32"/>
          <w:szCs w:val="32"/>
        </w:rPr>
        <w:t>附件</w:t>
      </w:r>
      <w:r>
        <w:rPr>
          <w:rFonts w:hint="eastAsia" w:eastAsia="黑体"/>
          <w:kern w:val="0"/>
          <w:sz w:val="32"/>
          <w:szCs w:val="32"/>
        </w:rPr>
        <w:t>5</w:t>
      </w:r>
    </w:p>
    <w:p>
      <w:pPr>
        <w:jc w:val="center"/>
        <w:rPr>
          <w:rFonts w:eastAsia="方正小标宋_GBK"/>
          <w:spacing w:val="-6"/>
          <w:sz w:val="32"/>
          <w:szCs w:val="32"/>
        </w:rPr>
      </w:pPr>
      <w:r>
        <w:rPr>
          <w:rFonts w:eastAsia="方正小标宋_GBK"/>
          <w:sz w:val="32"/>
          <w:szCs w:val="32"/>
        </w:rPr>
        <w:t>部门</w:t>
      </w:r>
      <w:r>
        <w:rPr>
          <w:rFonts w:hint="eastAsia" w:eastAsia="方正小标宋_GBK"/>
          <w:sz w:val="32"/>
          <w:szCs w:val="32"/>
        </w:rPr>
        <w:t>整体支出</w:t>
      </w:r>
      <w:r>
        <w:rPr>
          <w:rFonts w:eastAsia="方正小标宋_GBK"/>
          <w:spacing w:val="-6"/>
          <w:sz w:val="32"/>
          <w:szCs w:val="32"/>
        </w:rPr>
        <w:t>绩效自评工作考核评分表</w:t>
      </w:r>
    </w:p>
    <w:tbl>
      <w:tblPr>
        <w:tblStyle w:val="5"/>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74"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一级指标</w:t>
            </w: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二级指标</w:t>
            </w:r>
          </w:p>
        </w:tc>
        <w:tc>
          <w:tcPr>
            <w:tcW w:w="6477"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评分标准</w:t>
            </w:r>
          </w:p>
        </w:tc>
        <w:tc>
          <w:tcPr>
            <w:tcW w:w="752"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74" w:type="dxa"/>
            <w:vMerge w:val="restart"/>
            <w:tcBorders>
              <w:tl2br w:val="nil"/>
              <w:tr2bl w:val="nil"/>
            </w:tcBorders>
            <w:noWrap/>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布置工作</w:t>
            </w:r>
          </w:p>
          <w:p>
            <w:pPr>
              <w:spacing w:line="300" w:lineRule="exact"/>
              <w:jc w:val="center"/>
              <w:rPr>
                <w:rFonts w:ascii="仿宋" w:hAnsi="仿宋" w:eastAsia="仿宋" w:cs="仿宋"/>
                <w:b/>
                <w:bCs/>
                <w:sz w:val="24"/>
              </w:rPr>
            </w:pPr>
          </w:p>
          <w:p>
            <w:pPr>
              <w:spacing w:line="300" w:lineRule="exact"/>
              <w:jc w:val="left"/>
              <w:rPr>
                <w:rFonts w:ascii="仿宋" w:hAnsi="仿宋" w:eastAsia="仿宋" w:cs="仿宋"/>
                <w:b/>
                <w:bCs/>
                <w:sz w:val="24"/>
              </w:rPr>
            </w:pPr>
            <w:r>
              <w:rPr>
                <w:rFonts w:hint="eastAsia" w:ascii="仿宋" w:hAnsi="仿宋" w:eastAsia="仿宋" w:cs="仿宋"/>
                <w:b/>
                <w:bCs/>
                <w:sz w:val="24"/>
              </w:rPr>
              <w:t>10分</w:t>
            </w: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自评通知</w:t>
            </w:r>
          </w:p>
          <w:p>
            <w:pPr>
              <w:spacing w:line="240" w:lineRule="exact"/>
              <w:jc w:val="center"/>
              <w:rPr>
                <w:rFonts w:ascii="仿宋" w:hAnsi="仿宋" w:eastAsia="仿宋" w:cs="仿宋"/>
                <w:b/>
                <w:bCs/>
                <w:sz w:val="24"/>
              </w:rPr>
            </w:pPr>
            <w:r>
              <w:rPr>
                <w:rFonts w:hint="eastAsia" w:ascii="仿宋" w:hAnsi="仿宋" w:eastAsia="仿宋" w:cs="仿宋"/>
                <w:b/>
                <w:bCs/>
                <w:sz w:val="24"/>
              </w:rPr>
              <w:t>（8分）</w:t>
            </w:r>
          </w:p>
        </w:tc>
        <w:tc>
          <w:tcPr>
            <w:tcW w:w="6477" w:type="dxa"/>
            <w:tcBorders>
              <w:tl2br w:val="nil"/>
              <w:tr2bl w:val="nil"/>
            </w:tcBorders>
            <w:noWrap/>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1、印发绩效自评通知的得2分，否则不得分。</w:t>
            </w:r>
          </w:p>
          <w:p>
            <w:pPr>
              <w:spacing w:line="240" w:lineRule="exact"/>
              <w:ind w:firstLine="240" w:firstLineChars="100"/>
              <w:rPr>
                <w:rFonts w:ascii="仿宋" w:hAnsi="仿宋" w:eastAsia="仿宋" w:cs="仿宋"/>
                <w:sz w:val="24"/>
              </w:rPr>
            </w:pPr>
            <w:r>
              <w:rPr>
                <w:rFonts w:hint="eastAsia" w:ascii="仿宋" w:hAnsi="仿宋" w:eastAsia="仿宋" w:cs="仿宋"/>
                <w:sz w:val="24"/>
              </w:rPr>
              <w:t>2、按照本规程规定，绩效自评通知包括自评范围、自评主要依据、自评主要内容、自评程序和步骤、有关要求等内容，并附有本规程要求的附件的，得6分；否则缺1项扣1分，最多扣6分。</w:t>
            </w:r>
          </w:p>
        </w:tc>
        <w:tc>
          <w:tcPr>
            <w:tcW w:w="752" w:type="dxa"/>
            <w:tcBorders>
              <w:tl2br w:val="nil"/>
              <w:tr2bl w:val="nil"/>
            </w:tcBorders>
            <w:noWrap/>
            <w:vAlign w:val="center"/>
          </w:tcPr>
          <w:p>
            <w:pPr>
              <w:spacing w:line="240" w:lineRule="exact"/>
              <w:rPr>
                <w:rFonts w:ascii="仿宋" w:hAnsi="仿宋" w:eastAsia="仿宋" w:cs="仿宋"/>
                <w:sz w:val="24"/>
              </w:rPr>
            </w:pPr>
            <w:r>
              <w:rPr>
                <w:rFonts w:hint="eastAsia" w:ascii="仿宋" w:hAnsi="仿宋" w:eastAsia="仿宋" w:cs="仿宋"/>
                <w:sz w:val="24"/>
              </w:rPr>
              <w:t>　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4" w:type="dxa"/>
            <w:vMerge w:val="continue"/>
            <w:tcBorders>
              <w:tl2br w:val="nil"/>
              <w:tr2bl w:val="nil"/>
            </w:tcBorders>
            <w:noWrap/>
            <w:vAlign w:val="center"/>
          </w:tcPr>
          <w:p>
            <w:pPr>
              <w:spacing w:line="240" w:lineRule="exact"/>
              <w:rPr>
                <w:rFonts w:ascii="仿宋" w:hAnsi="仿宋" w:eastAsia="仿宋" w:cs="仿宋"/>
                <w:b/>
                <w:bCs/>
                <w:sz w:val="24"/>
              </w:rPr>
            </w:pP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工作小组</w:t>
            </w:r>
          </w:p>
          <w:p>
            <w:pPr>
              <w:spacing w:line="240" w:lineRule="exact"/>
              <w:jc w:val="center"/>
              <w:rPr>
                <w:rFonts w:ascii="仿宋" w:hAnsi="仿宋" w:eastAsia="仿宋" w:cs="仿宋"/>
                <w:b/>
                <w:bCs/>
                <w:sz w:val="24"/>
              </w:rPr>
            </w:pPr>
            <w:r>
              <w:rPr>
                <w:rFonts w:hint="eastAsia" w:ascii="仿宋" w:hAnsi="仿宋" w:eastAsia="仿宋" w:cs="仿宋"/>
                <w:b/>
                <w:bCs/>
                <w:sz w:val="24"/>
              </w:rPr>
              <w:t>（2分）</w:t>
            </w:r>
          </w:p>
        </w:tc>
        <w:tc>
          <w:tcPr>
            <w:tcW w:w="6477" w:type="dxa"/>
            <w:tcBorders>
              <w:tl2br w:val="nil"/>
              <w:tr2bl w:val="nil"/>
            </w:tcBorders>
            <w:noWrap/>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成立绩效自评工作小组的得2分，否则不得分。</w:t>
            </w:r>
          </w:p>
        </w:tc>
        <w:tc>
          <w:tcPr>
            <w:tcW w:w="752" w:type="dxa"/>
            <w:tcBorders>
              <w:tl2br w:val="nil"/>
              <w:tr2bl w:val="nil"/>
            </w:tcBorders>
            <w:noWrap/>
            <w:vAlign w:val="center"/>
          </w:tcPr>
          <w:p>
            <w:pPr>
              <w:spacing w:line="24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74" w:type="dxa"/>
            <w:vMerge w:val="restart"/>
            <w:tcBorders>
              <w:tl2br w:val="nil"/>
              <w:tr2bl w:val="nil"/>
            </w:tcBorders>
            <w:noWrap/>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实施评价</w:t>
            </w:r>
          </w:p>
          <w:p>
            <w:pPr>
              <w:spacing w:line="320" w:lineRule="exact"/>
              <w:jc w:val="center"/>
              <w:rPr>
                <w:rFonts w:ascii="仿宋" w:hAnsi="仿宋" w:eastAsia="仿宋" w:cs="仿宋"/>
                <w:b/>
                <w:bCs/>
                <w:sz w:val="24"/>
              </w:rPr>
            </w:pPr>
          </w:p>
          <w:p>
            <w:pPr>
              <w:spacing w:line="320" w:lineRule="exact"/>
              <w:jc w:val="center"/>
              <w:rPr>
                <w:rFonts w:ascii="仿宋" w:hAnsi="仿宋" w:eastAsia="仿宋" w:cs="仿宋"/>
                <w:b/>
                <w:bCs/>
                <w:sz w:val="24"/>
              </w:rPr>
            </w:pPr>
            <w:r>
              <w:rPr>
                <w:rFonts w:hint="eastAsia" w:ascii="仿宋" w:hAnsi="仿宋" w:eastAsia="仿宋" w:cs="仿宋"/>
                <w:b/>
                <w:bCs/>
                <w:sz w:val="24"/>
              </w:rPr>
              <w:t>30分</w:t>
            </w: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单位自查</w:t>
            </w:r>
          </w:p>
          <w:p>
            <w:pPr>
              <w:spacing w:line="240" w:lineRule="exact"/>
              <w:jc w:val="center"/>
              <w:rPr>
                <w:rFonts w:ascii="仿宋" w:hAnsi="仿宋" w:eastAsia="仿宋" w:cs="仿宋"/>
                <w:b/>
                <w:bCs/>
                <w:sz w:val="24"/>
              </w:rPr>
            </w:pPr>
            <w:r>
              <w:rPr>
                <w:rFonts w:hint="eastAsia" w:ascii="仿宋" w:hAnsi="仿宋" w:eastAsia="仿宋" w:cs="仿宋"/>
                <w:b/>
                <w:bCs/>
                <w:sz w:val="24"/>
              </w:rPr>
              <w:t>（20分）</w:t>
            </w:r>
          </w:p>
        </w:tc>
        <w:tc>
          <w:tcPr>
            <w:tcW w:w="6477" w:type="dxa"/>
            <w:tcBorders>
              <w:tl2br w:val="nil"/>
              <w:tr2bl w:val="nil"/>
            </w:tcBorders>
            <w:noWrap/>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l2br w:val="nil"/>
              <w:tr2bl w:val="nil"/>
            </w:tcBorders>
            <w:noWrap/>
            <w:vAlign w:val="center"/>
          </w:tcPr>
          <w:p>
            <w:pPr>
              <w:spacing w:line="240" w:lineRule="exact"/>
              <w:jc w:val="center"/>
              <w:rPr>
                <w:rFonts w:ascii="仿宋" w:hAnsi="仿宋" w:eastAsia="仿宋" w:cs="仿宋"/>
                <w:sz w:val="24"/>
              </w:rPr>
            </w:pPr>
            <w:r>
              <w:rPr>
                <w:rFonts w:hint="eastAsia" w:ascii="仿宋" w:hAnsi="仿宋" w:eastAsia="仿宋" w:cs="仿宋"/>
                <w:sz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tcBorders>
              <w:tl2br w:val="nil"/>
              <w:tr2bl w:val="nil"/>
            </w:tcBorders>
            <w:noWrap/>
            <w:vAlign w:val="center"/>
          </w:tcPr>
          <w:p>
            <w:pPr>
              <w:spacing w:line="240" w:lineRule="exact"/>
              <w:rPr>
                <w:rFonts w:ascii="仿宋" w:hAnsi="仿宋" w:eastAsia="仿宋" w:cs="仿宋"/>
                <w:b/>
                <w:bCs/>
                <w:sz w:val="24"/>
              </w:rPr>
            </w:pP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提交报告</w:t>
            </w:r>
          </w:p>
          <w:p>
            <w:pPr>
              <w:spacing w:line="240" w:lineRule="exact"/>
              <w:jc w:val="center"/>
              <w:rPr>
                <w:rFonts w:ascii="仿宋" w:hAnsi="仿宋" w:eastAsia="仿宋" w:cs="仿宋"/>
                <w:b/>
                <w:bCs/>
                <w:sz w:val="24"/>
              </w:rPr>
            </w:pPr>
            <w:r>
              <w:rPr>
                <w:rFonts w:hint="eastAsia" w:ascii="仿宋" w:hAnsi="仿宋" w:eastAsia="仿宋" w:cs="仿宋"/>
                <w:b/>
                <w:bCs/>
                <w:sz w:val="24"/>
              </w:rPr>
              <w:t>（10分）</w:t>
            </w:r>
          </w:p>
        </w:tc>
        <w:tc>
          <w:tcPr>
            <w:tcW w:w="6477" w:type="dxa"/>
            <w:tcBorders>
              <w:tl2br w:val="nil"/>
              <w:tr2bl w:val="nil"/>
            </w:tcBorders>
            <w:noWrap/>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按时向省财政厅报送报告的得10分；每推迟一天报送报告的扣1分，最多扣10分。</w:t>
            </w:r>
          </w:p>
        </w:tc>
        <w:tc>
          <w:tcPr>
            <w:tcW w:w="752" w:type="dxa"/>
            <w:tcBorders>
              <w:tl2br w:val="nil"/>
              <w:tr2bl w:val="nil"/>
            </w:tcBorders>
            <w:noWrap/>
            <w:vAlign w:val="center"/>
          </w:tcPr>
          <w:p>
            <w:pPr>
              <w:spacing w:line="24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4" w:type="dxa"/>
            <w:vMerge w:val="restart"/>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自评报告</w:t>
            </w:r>
          </w:p>
          <w:p>
            <w:pPr>
              <w:spacing w:line="240" w:lineRule="exact"/>
              <w:jc w:val="center"/>
              <w:rPr>
                <w:rFonts w:ascii="仿宋" w:hAnsi="仿宋" w:eastAsia="仿宋" w:cs="仿宋"/>
                <w:b/>
                <w:bCs/>
                <w:sz w:val="24"/>
              </w:rPr>
            </w:pPr>
          </w:p>
          <w:p>
            <w:pPr>
              <w:spacing w:line="240" w:lineRule="exact"/>
              <w:jc w:val="center"/>
              <w:rPr>
                <w:rFonts w:ascii="仿宋" w:hAnsi="仿宋" w:eastAsia="仿宋" w:cs="仿宋"/>
                <w:b/>
                <w:bCs/>
                <w:sz w:val="24"/>
              </w:rPr>
            </w:pPr>
            <w:r>
              <w:rPr>
                <w:rFonts w:hint="eastAsia" w:ascii="仿宋" w:hAnsi="仿宋" w:eastAsia="仿宋" w:cs="仿宋"/>
                <w:b/>
                <w:bCs/>
                <w:sz w:val="24"/>
              </w:rPr>
              <w:t>60分</w:t>
            </w: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自评报告</w:t>
            </w:r>
          </w:p>
          <w:p>
            <w:pPr>
              <w:spacing w:line="240" w:lineRule="exact"/>
              <w:jc w:val="center"/>
              <w:rPr>
                <w:rFonts w:ascii="仿宋" w:hAnsi="仿宋" w:eastAsia="仿宋" w:cs="仿宋"/>
                <w:b/>
                <w:bCs/>
                <w:sz w:val="24"/>
              </w:rPr>
            </w:pPr>
            <w:r>
              <w:rPr>
                <w:rFonts w:hint="eastAsia" w:ascii="仿宋" w:hAnsi="仿宋" w:eastAsia="仿宋" w:cs="仿宋"/>
                <w:b/>
                <w:bCs/>
                <w:sz w:val="24"/>
              </w:rPr>
              <w:t>的完整性</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noWrap/>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1、绩效自评报告正文部分内容齐全的，得8分；否则每少一个部分扣2分，最多扣8分。</w:t>
            </w:r>
          </w:p>
          <w:p>
            <w:pPr>
              <w:spacing w:line="240" w:lineRule="exact"/>
              <w:ind w:firstLine="240" w:firstLineChars="100"/>
              <w:rPr>
                <w:rFonts w:ascii="仿宋" w:hAnsi="仿宋" w:eastAsia="仿宋" w:cs="仿宋"/>
                <w:sz w:val="24"/>
              </w:rPr>
            </w:pPr>
            <w:r>
              <w:rPr>
                <w:rFonts w:hint="eastAsia" w:ascii="仿宋" w:hAnsi="仿宋" w:eastAsia="仿宋" w:cs="仿宋"/>
                <w:sz w:val="24"/>
              </w:rPr>
              <w:t>2、绩效自评报告附件部分内容齐全的，得7分；否则每少一个部分扣2分，最多扣7分。</w:t>
            </w:r>
          </w:p>
        </w:tc>
        <w:tc>
          <w:tcPr>
            <w:tcW w:w="752" w:type="dxa"/>
            <w:tcBorders>
              <w:tl2br w:val="nil"/>
              <w:tr2bl w:val="nil"/>
            </w:tcBorders>
            <w:noWrap/>
            <w:vAlign w:val="center"/>
          </w:tcPr>
          <w:p>
            <w:pPr>
              <w:spacing w:line="240" w:lineRule="exact"/>
              <w:jc w:val="center"/>
              <w:rPr>
                <w:rFonts w:ascii="仿宋" w:hAnsi="仿宋" w:eastAsia="仿宋" w:cs="仿宋"/>
                <w:sz w:val="24"/>
              </w:rPr>
            </w:pPr>
            <w:r>
              <w:rPr>
                <w:rFonts w:hint="eastAsia" w:ascii="仿宋" w:hAnsi="仿宋" w:eastAsia="仿宋" w:cs="仿宋"/>
                <w:sz w:val="24"/>
              </w:rPr>
              <w:t>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74" w:type="dxa"/>
            <w:vMerge w:val="continue"/>
            <w:tcBorders>
              <w:tl2br w:val="nil"/>
              <w:tr2bl w:val="nil"/>
            </w:tcBorders>
            <w:noWrap/>
            <w:vAlign w:val="center"/>
          </w:tcPr>
          <w:p>
            <w:pPr>
              <w:spacing w:line="240" w:lineRule="exact"/>
              <w:rPr>
                <w:rFonts w:ascii="仿宋" w:hAnsi="仿宋" w:eastAsia="仿宋" w:cs="仿宋"/>
                <w:b/>
                <w:bCs/>
                <w:sz w:val="24"/>
              </w:rPr>
            </w:pP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绩效自评表</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noWrap/>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1、部门整体支出和项目支出绩效指标反映产出、效益、服务对象满意度方面的指标和预算执行率的权重符合本规程的，得2分，否则按比例扣除相应的分数。</w:t>
            </w:r>
          </w:p>
          <w:p>
            <w:pPr>
              <w:spacing w:line="240" w:lineRule="exact"/>
              <w:ind w:firstLine="240" w:firstLineChars="100"/>
              <w:rPr>
                <w:rFonts w:ascii="仿宋" w:hAnsi="仿宋" w:eastAsia="仿宋" w:cs="仿宋"/>
                <w:sz w:val="24"/>
              </w:rPr>
            </w:pPr>
            <w:r>
              <w:rPr>
                <w:rFonts w:hint="eastAsia" w:ascii="仿宋" w:hAnsi="仿宋" w:eastAsia="仿宋" w:cs="仿宋"/>
                <w:sz w:val="24"/>
              </w:rPr>
              <w:t>2、部门整体支出和项目支出绩效指标全部细化到三级指标的，得3分；部分细化的，酌情扣分；没有细化的，不得分。</w:t>
            </w:r>
          </w:p>
          <w:p>
            <w:pPr>
              <w:spacing w:line="240" w:lineRule="exact"/>
              <w:ind w:firstLine="240" w:firstLineChars="100"/>
              <w:rPr>
                <w:rFonts w:ascii="仿宋" w:hAnsi="仿宋" w:eastAsia="仿宋" w:cs="仿宋"/>
                <w:sz w:val="24"/>
              </w:rPr>
            </w:pPr>
            <w:r>
              <w:rPr>
                <w:rFonts w:hint="eastAsia" w:ascii="仿宋" w:hAnsi="仿宋" w:eastAsia="仿宋" w:cs="仿宋"/>
                <w:sz w:val="24"/>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l2br w:val="nil"/>
              <w:tr2bl w:val="nil"/>
            </w:tcBorders>
            <w:noWrap/>
            <w:vAlign w:val="center"/>
          </w:tcPr>
          <w:p>
            <w:pPr>
              <w:spacing w:line="240" w:lineRule="exact"/>
              <w:jc w:val="center"/>
              <w:rPr>
                <w:rFonts w:ascii="仿宋" w:hAnsi="仿宋" w:eastAsia="仿宋" w:cs="仿宋"/>
                <w:sz w:val="24"/>
              </w:rPr>
            </w:pPr>
            <w:r>
              <w:rPr>
                <w:rFonts w:hint="eastAsia" w:ascii="仿宋" w:hAnsi="仿宋" w:eastAsia="仿宋" w:cs="仿宋"/>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4" w:type="dxa"/>
            <w:vMerge w:val="continue"/>
            <w:tcBorders>
              <w:tl2br w:val="nil"/>
              <w:tr2bl w:val="nil"/>
            </w:tcBorders>
            <w:noWrap/>
            <w:vAlign w:val="center"/>
          </w:tcPr>
          <w:p>
            <w:pPr>
              <w:spacing w:line="240" w:lineRule="exact"/>
              <w:jc w:val="center"/>
              <w:rPr>
                <w:rFonts w:ascii="仿宋" w:hAnsi="仿宋" w:eastAsia="仿宋" w:cs="仿宋"/>
                <w:b/>
                <w:bCs/>
                <w:sz w:val="24"/>
              </w:rPr>
            </w:pP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绩效评价</w:t>
            </w:r>
          </w:p>
          <w:p>
            <w:pPr>
              <w:spacing w:line="240" w:lineRule="exact"/>
              <w:jc w:val="center"/>
              <w:rPr>
                <w:rFonts w:ascii="仿宋" w:hAnsi="仿宋" w:eastAsia="仿宋" w:cs="仿宋"/>
                <w:b/>
                <w:bCs/>
                <w:sz w:val="24"/>
              </w:rPr>
            </w:pPr>
            <w:r>
              <w:rPr>
                <w:rFonts w:hint="eastAsia" w:ascii="仿宋" w:hAnsi="仿宋" w:eastAsia="仿宋" w:cs="仿宋"/>
                <w:b/>
                <w:bCs/>
                <w:sz w:val="24"/>
              </w:rPr>
              <w:t>报告反映</w:t>
            </w:r>
          </w:p>
          <w:p>
            <w:pPr>
              <w:spacing w:line="240" w:lineRule="exact"/>
              <w:jc w:val="center"/>
              <w:rPr>
                <w:rFonts w:ascii="仿宋" w:hAnsi="仿宋" w:eastAsia="仿宋" w:cs="仿宋"/>
                <w:b/>
                <w:bCs/>
                <w:sz w:val="24"/>
              </w:rPr>
            </w:pPr>
            <w:r>
              <w:rPr>
                <w:rFonts w:hint="eastAsia" w:ascii="仿宋" w:hAnsi="仿宋" w:eastAsia="仿宋" w:cs="仿宋"/>
                <w:b/>
                <w:bCs/>
                <w:sz w:val="24"/>
              </w:rPr>
              <w:t>问题情况</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noWrap/>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绩效评价发现问题详实全面的得15分，只提出资金不足问题的不得分；其他情况酌情扣分。</w:t>
            </w:r>
          </w:p>
        </w:tc>
        <w:tc>
          <w:tcPr>
            <w:tcW w:w="752" w:type="dxa"/>
            <w:tcBorders>
              <w:tl2br w:val="nil"/>
              <w:tr2bl w:val="nil"/>
            </w:tcBorders>
            <w:noWrap/>
            <w:vAlign w:val="center"/>
          </w:tcPr>
          <w:p>
            <w:pPr>
              <w:spacing w:line="240" w:lineRule="exact"/>
              <w:jc w:val="center"/>
              <w:rPr>
                <w:rFonts w:ascii="仿宋" w:hAnsi="仿宋" w:eastAsia="仿宋" w:cs="仿宋"/>
                <w:sz w:val="24"/>
              </w:rPr>
            </w:pPr>
            <w:r>
              <w:rPr>
                <w:rFonts w:hint="eastAsia" w:ascii="仿宋" w:hAnsi="仿宋" w:eastAsia="仿宋" w:cs="仿宋"/>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74" w:type="dxa"/>
            <w:vMerge w:val="continue"/>
            <w:tcBorders>
              <w:tl2br w:val="nil"/>
              <w:tr2bl w:val="nil"/>
            </w:tcBorders>
            <w:noWrap/>
            <w:vAlign w:val="center"/>
          </w:tcPr>
          <w:p>
            <w:pPr>
              <w:spacing w:line="240" w:lineRule="exact"/>
              <w:rPr>
                <w:rFonts w:ascii="仿宋" w:hAnsi="仿宋" w:eastAsia="仿宋" w:cs="仿宋"/>
                <w:b/>
                <w:bCs/>
                <w:sz w:val="24"/>
              </w:rPr>
            </w:pP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针对问题</w:t>
            </w:r>
          </w:p>
          <w:p>
            <w:pPr>
              <w:spacing w:line="240" w:lineRule="exact"/>
              <w:jc w:val="center"/>
              <w:rPr>
                <w:rFonts w:ascii="仿宋" w:hAnsi="仿宋" w:eastAsia="仿宋" w:cs="仿宋"/>
                <w:b/>
                <w:bCs/>
                <w:sz w:val="24"/>
              </w:rPr>
            </w:pPr>
            <w:r>
              <w:rPr>
                <w:rFonts w:hint="eastAsia" w:ascii="仿宋" w:hAnsi="仿宋" w:eastAsia="仿宋" w:cs="仿宋"/>
                <w:b/>
                <w:bCs/>
                <w:sz w:val="24"/>
              </w:rPr>
              <w:t>提出可行性建议的情况</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noWrap/>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针对评价发现问题提出包含有关政策在内的可行性建议的得15分，只提出加大资金投入建议的不得分；其他情况酌情扣分。</w:t>
            </w:r>
          </w:p>
        </w:tc>
        <w:tc>
          <w:tcPr>
            <w:tcW w:w="752" w:type="dxa"/>
            <w:tcBorders>
              <w:tl2br w:val="nil"/>
              <w:tr2bl w:val="nil"/>
            </w:tcBorders>
            <w:noWrap/>
            <w:vAlign w:val="center"/>
          </w:tcPr>
          <w:p>
            <w:pPr>
              <w:spacing w:line="240" w:lineRule="exact"/>
              <w:jc w:val="center"/>
              <w:rPr>
                <w:rFonts w:ascii="仿宋" w:hAnsi="仿宋" w:eastAsia="仿宋" w:cs="仿宋"/>
                <w:sz w:val="24"/>
              </w:rPr>
            </w:pPr>
            <w:r>
              <w:rPr>
                <w:rFonts w:hint="eastAsia" w:ascii="仿宋" w:hAnsi="仿宋" w:eastAsia="仿宋" w:cs="仿宋"/>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4"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合计</w:t>
            </w:r>
          </w:p>
        </w:tc>
        <w:tc>
          <w:tcPr>
            <w:tcW w:w="1500" w:type="dxa"/>
            <w:tcBorders>
              <w:tl2br w:val="nil"/>
              <w:tr2bl w:val="nil"/>
            </w:tcBorders>
            <w:noWrap/>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100分</w:t>
            </w:r>
          </w:p>
        </w:tc>
        <w:tc>
          <w:tcPr>
            <w:tcW w:w="6477" w:type="dxa"/>
            <w:tcBorders>
              <w:tl2br w:val="nil"/>
              <w:tr2bl w:val="nil"/>
            </w:tcBorders>
            <w:noWrap/>
            <w:vAlign w:val="center"/>
          </w:tcPr>
          <w:p>
            <w:pPr>
              <w:spacing w:line="240" w:lineRule="exact"/>
              <w:rPr>
                <w:rFonts w:ascii="仿宋" w:hAnsi="仿宋" w:eastAsia="仿宋" w:cs="仿宋"/>
                <w:sz w:val="24"/>
              </w:rPr>
            </w:pPr>
          </w:p>
        </w:tc>
        <w:tc>
          <w:tcPr>
            <w:tcW w:w="752" w:type="dxa"/>
            <w:tcBorders>
              <w:tl2br w:val="nil"/>
              <w:tr2bl w:val="nil"/>
            </w:tcBorders>
            <w:noWrap/>
            <w:vAlign w:val="center"/>
          </w:tcPr>
          <w:p>
            <w:pPr>
              <w:spacing w:line="240" w:lineRule="exact"/>
              <w:rPr>
                <w:rFonts w:ascii="仿宋" w:hAnsi="仿宋" w:eastAsia="仿宋" w:cs="仿宋"/>
                <w:sz w:val="24"/>
              </w:rPr>
            </w:pPr>
            <w:r>
              <w:rPr>
                <w:rFonts w:hint="eastAsia" w:ascii="仿宋" w:hAnsi="仿宋" w:eastAsia="仿宋" w:cs="仿宋"/>
                <w:sz w:val="24"/>
              </w:rPr>
              <w:t>　96</w:t>
            </w:r>
          </w:p>
        </w:tc>
      </w:tr>
    </w:tbl>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E4735"/>
    <w:multiLevelType w:val="multilevel"/>
    <w:tmpl w:val="19BE473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4127B"/>
    <w:rsid w:val="00065779"/>
    <w:rsid w:val="00072C17"/>
    <w:rsid w:val="000C32EA"/>
    <w:rsid w:val="001736D4"/>
    <w:rsid w:val="00224520"/>
    <w:rsid w:val="00242677"/>
    <w:rsid w:val="00263FB7"/>
    <w:rsid w:val="00296A26"/>
    <w:rsid w:val="0033067D"/>
    <w:rsid w:val="0034127B"/>
    <w:rsid w:val="00344456"/>
    <w:rsid w:val="003F011C"/>
    <w:rsid w:val="003F0478"/>
    <w:rsid w:val="004A214A"/>
    <w:rsid w:val="00542D35"/>
    <w:rsid w:val="005940AA"/>
    <w:rsid w:val="00650E2B"/>
    <w:rsid w:val="00665BF9"/>
    <w:rsid w:val="007B439D"/>
    <w:rsid w:val="00914146"/>
    <w:rsid w:val="00966EF3"/>
    <w:rsid w:val="009B66DE"/>
    <w:rsid w:val="00A00D35"/>
    <w:rsid w:val="00B357A8"/>
    <w:rsid w:val="00B60C2F"/>
    <w:rsid w:val="00D0525F"/>
    <w:rsid w:val="00D32162"/>
    <w:rsid w:val="00D70475"/>
    <w:rsid w:val="00DC6FE6"/>
    <w:rsid w:val="00E17084"/>
    <w:rsid w:val="00EA5BB9"/>
    <w:rsid w:val="00FA31F8"/>
    <w:rsid w:val="02A03431"/>
    <w:rsid w:val="18E87D71"/>
    <w:rsid w:val="2F2F4E3B"/>
    <w:rsid w:val="567E3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_Style 8"/>
    <w:basedOn w:val="1"/>
    <w:next w:val="8"/>
    <w:qFormat/>
    <w:uiPriority w:val="99"/>
    <w:pPr>
      <w:ind w:firstLine="420" w:firstLineChars="200"/>
    </w:pPr>
    <w:rPr>
      <w:rFonts w:ascii="Calibri" w:hAnsi="Calibri" w:eastAsia="宋体"/>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character" w:customStyle="1" w:styleId="10">
    <w:name w:val="页眉 Char"/>
    <w:basedOn w:val="6"/>
    <w:link w:val="3"/>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2712</Words>
  <Characters>15464</Characters>
  <Lines>128</Lines>
  <Paragraphs>36</Paragraphs>
  <TotalTime>131</TotalTime>
  <ScaleCrop>false</ScaleCrop>
  <LinksUpToDate>false</LinksUpToDate>
  <CharactersWithSpaces>18140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lyt</dc:creator>
  <cp:lastModifiedBy>唐星</cp:lastModifiedBy>
  <dcterms:modified xsi:type="dcterms:W3CDTF">2021-10-25T02:59:00Z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F293DB008F9B4DFA9B5949BC49E39A2D</vt:lpwstr>
  </property>
</Properties>
</file>